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BBE11A" w14:textId="129E1172" w:rsidR="00F35F8D" w:rsidRDefault="00F35F8D" w:rsidP="006679D7">
      <w:pPr>
        <w:pStyle w:val="Heading1"/>
      </w:pPr>
      <w:r>
        <w:t>Supplementary information</w:t>
      </w:r>
    </w:p>
    <w:p w14:paraId="550FF3CA" w14:textId="77777777" w:rsidR="00F35F8D" w:rsidRPr="00F35F8D" w:rsidRDefault="00F35F8D" w:rsidP="006679D7">
      <w:pPr>
        <w:rPr>
          <w:lang w:val="en-GB"/>
        </w:rPr>
      </w:pPr>
    </w:p>
    <w:p w14:paraId="3121F990" w14:textId="77777777" w:rsidR="006679D7" w:rsidRDefault="006679D7" w:rsidP="006679D7">
      <w:pPr>
        <w:pStyle w:val="Heading1"/>
        <w:ind w:right="-46"/>
      </w:pPr>
      <w:r w:rsidRPr="00915CB9">
        <w:t>Distinct Actions of the Fermented Beverage Kefir on Host Behaviour, Immunity and</w:t>
      </w:r>
      <w:r>
        <w:t xml:space="preserve"> Microbiome Gut-Brain Modules in the Mouse</w:t>
      </w:r>
    </w:p>
    <w:p w14:paraId="7F6FD1EA" w14:textId="77777777" w:rsidR="006679D7" w:rsidRDefault="006679D7" w:rsidP="006679D7">
      <w:pPr>
        <w:ind w:right="-46"/>
        <w:jc w:val="center"/>
      </w:pPr>
    </w:p>
    <w:p w14:paraId="7FD4FE95" w14:textId="77777777" w:rsidR="006679D7" w:rsidRDefault="006679D7" w:rsidP="006679D7">
      <w:pPr>
        <w:ind w:right="-46"/>
        <w:jc w:val="center"/>
        <w:rPr>
          <w:vertAlign w:val="superscript"/>
        </w:rPr>
      </w:pPr>
      <w:r>
        <w:t>Marcel van de Wouw</w:t>
      </w:r>
      <w:r>
        <w:rPr>
          <w:vertAlign w:val="superscript"/>
        </w:rPr>
        <w:t>1,2*</w:t>
      </w:r>
      <w:r>
        <w:t>, Aaron M. Walsh</w:t>
      </w:r>
      <w:r>
        <w:rPr>
          <w:vertAlign w:val="superscript"/>
        </w:rPr>
        <w:t>1,3,5*</w:t>
      </w:r>
      <w:r>
        <w:t>, Fiona Crispie</w:t>
      </w:r>
      <w:r>
        <w:rPr>
          <w:vertAlign w:val="superscript"/>
        </w:rPr>
        <w:t>1,3</w:t>
      </w:r>
      <w:r>
        <w:t>, Lucas van Leuven</w:t>
      </w:r>
      <w:r w:rsidRPr="00817A70">
        <w:rPr>
          <w:vertAlign w:val="superscript"/>
        </w:rPr>
        <w:t>1</w:t>
      </w:r>
      <w:r>
        <w:t>, Joshua M. Lyte</w:t>
      </w:r>
      <w:r w:rsidRPr="00817A70">
        <w:rPr>
          <w:vertAlign w:val="superscript"/>
        </w:rPr>
        <w:t>1</w:t>
      </w:r>
      <w:r>
        <w:t>, Marcus Boehme</w:t>
      </w:r>
      <w:r w:rsidRPr="00817A70">
        <w:rPr>
          <w:vertAlign w:val="superscript"/>
        </w:rPr>
        <w:t>1</w:t>
      </w:r>
      <w:r>
        <w:t>, Gerard Clarke</w:t>
      </w:r>
      <w:r w:rsidRPr="00817A70">
        <w:rPr>
          <w:vertAlign w:val="superscript"/>
        </w:rPr>
        <w:t>1,</w:t>
      </w:r>
      <w:r>
        <w:rPr>
          <w:vertAlign w:val="superscript"/>
        </w:rPr>
        <w:t>4</w:t>
      </w:r>
      <w:r>
        <w:t>, Timothy G. Dinan</w:t>
      </w:r>
      <w:r>
        <w:rPr>
          <w:vertAlign w:val="superscript"/>
        </w:rPr>
        <w:t>1,4</w:t>
      </w:r>
      <w:r>
        <w:t>, Paul D. Cotter</w:t>
      </w:r>
      <w:r>
        <w:rPr>
          <w:vertAlign w:val="superscript"/>
        </w:rPr>
        <w:t>1,3$</w:t>
      </w:r>
      <w:r>
        <w:t>, John F. Cryan</w:t>
      </w:r>
      <w:r>
        <w:rPr>
          <w:vertAlign w:val="superscript"/>
        </w:rPr>
        <w:t>1,2,4$</w:t>
      </w:r>
    </w:p>
    <w:p w14:paraId="29378EA5" w14:textId="77777777" w:rsidR="006679D7" w:rsidRPr="005367C4" w:rsidRDefault="006679D7" w:rsidP="006679D7">
      <w:pPr>
        <w:ind w:right="-46"/>
        <w:rPr>
          <w:vertAlign w:val="superscript"/>
        </w:rPr>
      </w:pPr>
    </w:p>
    <w:p w14:paraId="536814CD" w14:textId="77777777" w:rsidR="006679D7" w:rsidRPr="005367C4" w:rsidRDefault="006679D7" w:rsidP="006679D7">
      <w:pPr>
        <w:pStyle w:val="NoSpacing"/>
        <w:spacing w:beforeAutospacing="0" w:afterAutospacing="0"/>
        <w:ind w:right="-46"/>
        <w:jc w:val="left"/>
      </w:pPr>
      <w:r w:rsidRPr="005367C4">
        <w:rPr>
          <w:vertAlign w:val="superscript"/>
        </w:rPr>
        <w:t>*</w:t>
      </w:r>
      <w:r w:rsidRPr="005367C4">
        <w:t>Shared first co-author</w:t>
      </w:r>
    </w:p>
    <w:p w14:paraId="5AF2D38A" w14:textId="77777777" w:rsidR="006679D7" w:rsidRPr="005367C4" w:rsidRDefault="006679D7" w:rsidP="006679D7">
      <w:pPr>
        <w:pStyle w:val="NoSpacing"/>
        <w:spacing w:beforeAutospacing="0" w:afterAutospacing="0"/>
        <w:ind w:right="-46"/>
        <w:jc w:val="left"/>
      </w:pPr>
      <w:r w:rsidRPr="005367C4">
        <w:rPr>
          <w:vertAlign w:val="superscript"/>
        </w:rPr>
        <w:t>$</w:t>
      </w:r>
      <w:r w:rsidRPr="005367C4">
        <w:t>Shared last co-author</w:t>
      </w:r>
    </w:p>
    <w:p w14:paraId="30AA3185" w14:textId="77777777" w:rsidR="006679D7" w:rsidRPr="005B4EE5" w:rsidRDefault="006679D7" w:rsidP="006679D7">
      <w:pPr>
        <w:pStyle w:val="Figure"/>
        <w:ind w:right="-46"/>
        <w:jc w:val="left"/>
      </w:pPr>
    </w:p>
    <w:p w14:paraId="0C3A93BC" w14:textId="77777777" w:rsidR="006679D7" w:rsidRPr="005367C4" w:rsidRDefault="006679D7" w:rsidP="006679D7">
      <w:pPr>
        <w:pStyle w:val="NoSpacing"/>
        <w:spacing w:beforeAutospacing="0" w:afterAutospacing="0"/>
        <w:ind w:right="-46"/>
        <w:jc w:val="left"/>
      </w:pPr>
      <w:r w:rsidRPr="005367C4">
        <w:rPr>
          <w:vertAlign w:val="superscript"/>
        </w:rPr>
        <w:t>1</w:t>
      </w:r>
      <w:r w:rsidRPr="005367C4">
        <w:t>APC Microbiome Ireland, University College Cork, Cork, Ireland</w:t>
      </w:r>
    </w:p>
    <w:p w14:paraId="3E4253A9" w14:textId="77777777" w:rsidR="006679D7" w:rsidRPr="005367C4" w:rsidRDefault="006679D7" w:rsidP="006679D7">
      <w:pPr>
        <w:pStyle w:val="NoSpacing"/>
        <w:spacing w:beforeAutospacing="0" w:afterAutospacing="0"/>
        <w:ind w:right="-46"/>
        <w:jc w:val="left"/>
      </w:pPr>
      <w:r w:rsidRPr="005367C4">
        <w:rPr>
          <w:vertAlign w:val="superscript"/>
        </w:rPr>
        <w:t>2</w:t>
      </w:r>
      <w:r w:rsidRPr="005367C4">
        <w:t>Department of Anatomy and Neuroscience, University College Cork, Cork, Ireland</w:t>
      </w:r>
    </w:p>
    <w:p w14:paraId="1190555C" w14:textId="77777777" w:rsidR="006679D7" w:rsidRPr="005367C4" w:rsidRDefault="006679D7" w:rsidP="006679D7">
      <w:pPr>
        <w:pStyle w:val="NoSpacing"/>
        <w:spacing w:beforeAutospacing="0" w:afterAutospacing="0"/>
        <w:ind w:right="-46"/>
        <w:jc w:val="left"/>
      </w:pPr>
      <w:r w:rsidRPr="005367C4">
        <w:rPr>
          <w:vertAlign w:val="superscript"/>
        </w:rPr>
        <w:t>3</w:t>
      </w:r>
      <w:r w:rsidRPr="005367C4">
        <w:t>Teagasc Food Research Centre, Moorepark, Fermoy, Cork, Ireland.</w:t>
      </w:r>
    </w:p>
    <w:p w14:paraId="69277187" w14:textId="77777777" w:rsidR="006679D7" w:rsidRPr="005367C4" w:rsidRDefault="006679D7" w:rsidP="006679D7">
      <w:pPr>
        <w:pStyle w:val="NoSpacing"/>
        <w:spacing w:beforeAutospacing="0" w:afterAutospacing="0"/>
        <w:ind w:right="-46"/>
        <w:jc w:val="left"/>
      </w:pPr>
      <w:r w:rsidRPr="005367C4">
        <w:rPr>
          <w:vertAlign w:val="superscript"/>
        </w:rPr>
        <w:t>4</w:t>
      </w:r>
      <w:r w:rsidRPr="005367C4">
        <w:t>Department of Psychiatry and Neurobehavioral Science, University College Cork, Cork, Ireland</w:t>
      </w:r>
    </w:p>
    <w:p w14:paraId="293B3058" w14:textId="77777777" w:rsidR="006679D7" w:rsidRDefault="006679D7" w:rsidP="006679D7">
      <w:pPr>
        <w:pStyle w:val="NoSpacing"/>
        <w:spacing w:beforeAutospacing="0" w:afterAutospacing="0"/>
        <w:ind w:right="-188"/>
        <w:jc w:val="left"/>
      </w:pPr>
      <w:r w:rsidRPr="005367C4">
        <w:rPr>
          <w:vertAlign w:val="superscript"/>
        </w:rPr>
        <w:t>5</w:t>
      </w:r>
      <w:r w:rsidRPr="005367C4">
        <w:t>Microbiology Department, University College Cork, Cork, Ireland</w:t>
      </w:r>
    </w:p>
    <w:p w14:paraId="5EBA73D0" w14:textId="77777777" w:rsidR="006679D7" w:rsidRDefault="006679D7" w:rsidP="006679D7">
      <w:pPr>
        <w:pStyle w:val="NoSpacing"/>
        <w:spacing w:beforeAutospacing="0" w:afterAutospacing="0"/>
        <w:ind w:right="-46"/>
        <w:jc w:val="left"/>
        <w:rPr>
          <w:i/>
        </w:rPr>
      </w:pPr>
    </w:p>
    <w:p w14:paraId="31F9D638" w14:textId="77777777" w:rsidR="006679D7" w:rsidRDefault="006679D7" w:rsidP="006679D7">
      <w:pPr>
        <w:pStyle w:val="NoSpacing"/>
        <w:ind w:right="-46"/>
      </w:pPr>
      <w:r>
        <w:t>Corresponding authors:</w:t>
      </w:r>
    </w:p>
    <w:p w14:paraId="589BEC26" w14:textId="77777777" w:rsidR="006679D7" w:rsidRDefault="006679D7" w:rsidP="006679D7">
      <w:pPr>
        <w:pStyle w:val="NoSpacing"/>
        <w:ind w:right="-46"/>
      </w:pPr>
      <w:r>
        <w:t xml:space="preserve">J.F. Cryan: APC Microbiome Ireland; Department of Anatomy and Neuroscience, University College Cork, Cork, Ireland. Email: </w:t>
      </w:r>
      <w:hyperlink r:id="rId7" w:history="1">
        <w:r w:rsidRPr="003A0866">
          <w:rPr>
            <w:rStyle w:val="Hyperlink"/>
          </w:rPr>
          <w:t>j.cryan@ucc.ie</w:t>
        </w:r>
      </w:hyperlink>
      <w:r>
        <w:t>.</w:t>
      </w:r>
    </w:p>
    <w:p w14:paraId="51AEA8C4" w14:textId="77777777" w:rsidR="00A02E65" w:rsidRDefault="006679D7" w:rsidP="00962A70">
      <w:pPr>
        <w:pStyle w:val="NoSpacing"/>
        <w:spacing w:before="100" w:after="100"/>
        <w:ind w:right="-46"/>
        <w:rPr>
          <w:rStyle w:val="Hyperlink"/>
        </w:rPr>
      </w:pPr>
      <w:r>
        <w:t xml:space="preserve">P.D. Cotter: APC Microbiome Ireland; </w:t>
      </w:r>
      <w:r w:rsidRPr="00F86C4E">
        <w:t>Teagasc Food Research Centre, Moorepark, Fermoy, Co. Cork, Ireland</w:t>
      </w:r>
      <w:r>
        <w:t xml:space="preserve">. Email: </w:t>
      </w:r>
      <w:hyperlink r:id="rId8" w:history="1">
        <w:r w:rsidRPr="003A0866">
          <w:rPr>
            <w:rStyle w:val="Hyperlink"/>
          </w:rPr>
          <w:t>paul.cotter@teagasc.ie</w:t>
        </w:r>
      </w:hyperlink>
    </w:p>
    <w:p w14:paraId="2C1E9C7C" w14:textId="77777777" w:rsidR="00A02E65" w:rsidRDefault="00A02E65">
      <w:pPr>
        <w:spacing w:line="259" w:lineRule="auto"/>
        <w:jc w:val="left"/>
        <w:rPr>
          <w:rStyle w:val="Hyperlink"/>
          <w:rFonts w:eastAsia="Times New Roman" w:cs="Times New Roman"/>
          <w:szCs w:val="24"/>
          <w:lang w:val="en-US"/>
        </w:rPr>
      </w:pPr>
      <w:r>
        <w:rPr>
          <w:rStyle w:val="Hyperlink"/>
        </w:rPr>
        <w:br w:type="page"/>
      </w:r>
    </w:p>
    <w:p w14:paraId="6C4DFC20" w14:textId="77777777" w:rsidR="00A02E65" w:rsidRDefault="00A02E65" w:rsidP="00A02E65">
      <w:r>
        <w:rPr>
          <w:noProof/>
        </w:rPr>
        <w:lastRenderedPageBreak/>
        <w:drawing>
          <wp:inline distT="0" distB="0" distL="0" distR="0" wp14:anchorId="515CB0BC" wp14:editId="6BF50B57">
            <wp:extent cx="5715000" cy="4286250"/>
            <wp:effectExtent l="0" t="0" r="0" b="0"/>
            <wp:docPr id="11" name="Picture 11" descr="G:\PhD_projects\Mouse\Write_Up\figures_updated\mouse_kefir_area.png"/>
            <wp:cNvGraphicFramePr/>
            <a:graphic xmlns:a="http://schemas.openxmlformats.org/drawingml/2006/main">
              <a:graphicData uri="http://schemas.openxmlformats.org/drawingml/2006/picture">
                <pic:pic xmlns:pic="http://schemas.openxmlformats.org/drawingml/2006/picture">
                  <pic:nvPicPr>
                    <pic:cNvPr id="4" name="Picture 4" descr="G:\PhD_projects\Mouse\Write_Up\figures_updated\mouse_kefir_area.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5000" cy="4286250"/>
                    </a:xfrm>
                    <a:prstGeom prst="rect">
                      <a:avLst/>
                    </a:prstGeom>
                    <a:noFill/>
                    <a:ln>
                      <a:noFill/>
                    </a:ln>
                  </pic:spPr>
                </pic:pic>
              </a:graphicData>
            </a:graphic>
          </wp:inline>
        </w:drawing>
      </w:r>
    </w:p>
    <w:p w14:paraId="06CE549C" w14:textId="482AF0CD" w:rsidR="00A02E65" w:rsidRDefault="00A02E65" w:rsidP="00A02E65">
      <w:pPr>
        <w:pStyle w:val="NoSpacing"/>
        <w:spacing w:before="100" w:after="100"/>
      </w:pPr>
      <w:r>
        <w:rPr>
          <w:b/>
          <w:i/>
          <w:noProof/>
        </w:rPr>
        <w:t>Figure S</w:t>
      </w:r>
      <w:r>
        <w:rPr>
          <w:b/>
          <w:i/>
          <w:noProof/>
        </w:rPr>
        <w:t>1</w:t>
      </w:r>
      <w:r w:rsidRPr="004D4B8A">
        <w:rPr>
          <w:b/>
          <w:i/>
        </w:rPr>
        <w:t xml:space="preserve">. </w:t>
      </w:r>
      <w:r w:rsidRPr="001664ED">
        <w:rPr>
          <w:i/>
        </w:rPr>
        <w:t>Stacked area chart showing the microbial composition of kefirs over the course of the experiment.</w:t>
      </w:r>
      <w:r>
        <w:br w:type="page"/>
      </w:r>
    </w:p>
    <w:p w14:paraId="34909740" w14:textId="77777777" w:rsidR="00A02E65" w:rsidRDefault="00A02E65" w:rsidP="00A02E65">
      <w:r>
        <w:rPr>
          <w:noProof/>
        </w:rPr>
        <w:lastRenderedPageBreak/>
        <w:drawing>
          <wp:inline distT="0" distB="0" distL="0" distR="0" wp14:anchorId="32C0E9CA" wp14:editId="2DD5B47D">
            <wp:extent cx="5550195" cy="4687376"/>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487" b="3029"/>
                    <a:stretch/>
                  </pic:blipFill>
                  <pic:spPr bwMode="auto">
                    <a:xfrm>
                      <a:off x="0" y="0"/>
                      <a:ext cx="5568332" cy="4702693"/>
                    </a:xfrm>
                    <a:prstGeom prst="rect">
                      <a:avLst/>
                    </a:prstGeom>
                    <a:noFill/>
                    <a:ln>
                      <a:noFill/>
                    </a:ln>
                    <a:extLst>
                      <a:ext uri="{53640926-AAD7-44D8-BBD7-CCE9431645EC}">
                        <a14:shadowObscured xmlns:a14="http://schemas.microsoft.com/office/drawing/2010/main"/>
                      </a:ext>
                    </a:extLst>
                  </pic:spPr>
                </pic:pic>
              </a:graphicData>
            </a:graphic>
          </wp:inline>
        </w:drawing>
      </w:r>
    </w:p>
    <w:p w14:paraId="2A073D08" w14:textId="5979ACBE" w:rsidR="00A02E65" w:rsidRDefault="00A02E65" w:rsidP="00A02E65">
      <w:pPr>
        <w:pStyle w:val="NoSpacing"/>
        <w:spacing w:before="100" w:after="100"/>
      </w:pPr>
      <w:r>
        <w:rPr>
          <w:b/>
          <w:i/>
          <w:noProof/>
        </w:rPr>
        <w:t>Figure S</w:t>
      </w:r>
      <w:r>
        <w:rPr>
          <w:b/>
          <w:i/>
          <w:noProof/>
        </w:rPr>
        <w:t>2</w:t>
      </w:r>
      <w:r w:rsidRPr="004D4B8A">
        <w:rPr>
          <w:b/>
          <w:i/>
        </w:rPr>
        <w:t xml:space="preserve">. Kefir was well-tolerated in mice. </w:t>
      </w:r>
      <w:r w:rsidRPr="004D4B8A">
        <w:rPr>
          <w:i/>
        </w:rPr>
        <w:t xml:space="preserve"> Body weight as measured throughout the study (A). The </w:t>
      </w:r>
      <w:r w:rsidRPr="004D4B8A">
        <w:rPr>
          <w:i/>
          <w:noProof/>
        </w:rPr>
        <w:t>gap in-between</w:t>
      </w:r>
      <w:r w:rsidRPr="004D4B8A">
        <w:rPr>
          <w:i/>
        </w:rPr>
        <w:t xml:space="preserve"> day 64 and 92 represents the appetitive Y-maze, in which animals were food restricted. Food intake and drinking water intake were measured during the habituation phase of the saccharin preference test (B, C). Body composition (i.e. lean, fat and fluid mass) were quantified at the end of the study (D-F). Basal body temperature was taken during the stress-induced hyperthermia test (G). Locomotor activity was assessed in the open field test. All data are expressed as mean ± SEM (n = 11-12). Dots on each graph represent individual animals.</w:t>
      </w:r>
    </w:p>
    <w:p w14:paraId="72BD1A05" w14:textId="77777777" w:rsidR="00A02E65" w:rsidRDefault="00A02E65" w:rsidP="00A02E65">
      <w:pPr>
        <w:sectPr w:rsidR="00A02E65" w:rsidSect="00F61C0F">
          <w:pgSz w:w="11906" w:h="16838"/>
          <w:pgMar w:top="1440" w:right="1440" w:bottom="1440" w:left="1440" w:header="708" w:footer="708" w:gutter="0"/>
          <w:lnNumType w:countBy="1" w:restart="continuous"/>
          <w:cols w:space="708"/>
          <w:docGrid w:linePitch="360"/>
        </w:sectPr>
      </w:pPr>
    </w:p>
    <w:p w14:paraId="5B9C21E8" w14:textId="77777777" w:rsidR="00A02E65" w:rsidRDefault="00A02E65" w:rsidP="00A02E65">
      <w:r>
        <w:rPr>
          <w:noProof/>
        </w:rPr>
        <w:lastRenderedPageBreak/>
        <w:drawing>
          <wp:inline distT="0" distB="0" distL="0" distR="0" wp14:anchorId="7A79EB89" wp14:editId="324DD597">
            <wp:extent cx="5380074" cy="3270624"/>
            <wp:effectExtent l="0" t="0" r="0" b="6350"/>
            <wp:docPr id="7243" name="Picture 7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86046" cy="3274254"/>
                    </a:xfrm>
                    <a:prstGeom prst="rect">
                      <a:avLst/>
                    </a:prstGeom>
                    <a:noFill/>
                    <a:ln>
                      <a:noFill/>
                    </a:ln>
                  </pic:spPr>
                </pic:pic>
              </a:graphicData>
            </a:graphic>
          </wp:inline>
        </w:drawing>
      </w:r>
    </w:p>
    <w:p w14:paraId="0FCDB74C" w14:textId="08D79EB3" w:rsidR="00A02E65" w:rsidRDefault="00A02E65" w:rsidP="00A02E65">
      <w:pPr>
        <w:pStyle w:val="NoSpacing"/>
        <w:spacing w:before="100" w:after="100"/>
      </w:pPr>
      <w:r>
        <w:rPr>
          <w:b/>
          <w:i/>
          <w:noProof/>
        </w:rPr>
        <w:t>Figure S</w:t>
      </w:r>
      <w:r>
        <w:rPr>
          <w:b/>
          <w:i/>
          <w:noProof/>
        </w:rPr>
        <w:t>3</w:t>
      </w:r>
      <w:r w:rsidRPr="004D4B8A">
        <w:rPr>
          <w:b/>
          <w:i/>
        </w:rPr>
        <w:t>. Kefir did not influence gastrointestinal motility.</w:t>
      </w:r>
      <w:r w:rsidRPr="004D4B8A">
        <w:rPr>
          <w:i/>
        </w:rPr>
        <w:t xml:space="preserve"> Gastrointestinal motility was assessed by carmine red administration (A). Faecal pellet weight and water content were quantified during the “faecal water content assessment” (B, C). Caecum weight and colon length were measured at the end of the study (D, E). All data are expressed as mean ± SEM (n = 11-12). Dots on each graph represent individual animals.</w:t>
      </w:r>
    </w:p>
    <w:p w14:paraId="61FD954E" w14:textId="77777777" w:rsidR="00A02E65" w:rsidRDefault="00A02E65" w:rsidP="00A02E65">
      <w:r>
        <w:rPr>
          <w:noProof/>
        </w:rPr>
        <w:lastRenderedPageBreak/>
        <w:drawing>
          <wp:inline distT="0" distB="0" distL="0" distR="0" wp14:anchorId="6F07CE34" wp14:editId="197EA49E">
            <wp:extent cx="5645888" cy="5219641"/>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61926" cy="5234469"/>
                    </a:xfrm>
                    <a:prstGeom prst="rect">
                      <a:avLst/>
                    </a:prstGeom>
                    <a:noFill/>
                    <a:ln>
                      <a:noFill/>
                    </a:ln>
                  </pic:spPr>
                </pic:pic>
              </a:graphicData>
            </a:graphic>
          </wp:inline>
        </w:drawing>
      </w:r>
    </w:p>
    <w:p w14:paraId="5855C21A" w14:textId="0591B4C7" w:rsidR="00A02E65" w:rsidRPr="004D4B8A" w:rsidRDefault="00A02E65" w:rsidP="00A02E65">
      <w:pPr>
        <w:pStyle w:val="NoSpacing"/>
        <w:spacing w:before="100" w:after="100"/>
        <w:rPr>
          <w:i/>
        </w:rPr>
      </w:pPr>
      <w:r>
        <w:rPr>
          <w:b/>
          <w:i/>
          <w:noProof/>
        </w:rPr>
        <w:t>Figure S</w:t>
      </w:r>
      <w:r>
        <w:rPr>
          <w:b/>
          <w:i/>
          <w:noProof/>
        </w:rPr>
        <w:t>4</w:t>
      </w:r>
      <w:r w:rsidRPr="004D4B8A">
        <w:rPr>
          <w:b/>
          <w:i/>
        </w:rPr>
        <w:t>. Selective anxiety-like and depressive-like behavioural measurement showed no differences.</w:t>
      </w:r>
      <w:r w:rsidRPr="004D4B8A">
        <w:rPr>
          <w:i/>
        </w:rPr>
        <w:t xml:space="preserve"> Repetitive/anxiety-like behaviour was assessed using the elevated plus maze and open field test (A, B</w:t>
      </w:r>
      <w:r>
        <w:rPr>
          <w:i/>
        </w:rPr>
        <w:t>, C</w:t>
      </w:r>
      <w:r w:rsidRPr="004D4B8A">
        <w:rPr>
          <w:i/>
        </w:rPr>
        <w:t>). Stress-responsiveness was determined using the stress-induced hyperthermia test</w:t>
      </w:r>
      <w:r>
        <w:rPr>
          <w:i/>
        </w:rPr>
        <w:t xml:space="preserve"> and by measuring corticosterone levels in response to an acute stressor</w:t>
      </w:r>
      <w:r w:rsidRPr="004D4B8A">
        <w:rPr>
          <w:i/>
        </w:rPr>
        <w:t xml:space="preserve"> (</w:t>
      </w:r>
      <w:r>
        <w:rPr>
          <w:i/>
        </w:rPr>
        <w:t>D,E</w:t>
      </w:r>
      <w:r w:rsidRPr="004D4B8A">
        <w:rPr>
          <w:i/>
        </w:rPr>
        <w:t xml:space="preserve">). Depressive-like behaviour was investigated using the tail suspension test </w:t>
      </w:r>
      <w:r>
        <w:rPr>
          <w:i/>
        </w:rPr>
        <w:t xml:space="preserve">and forced swim test </w:t>
      </w:r>
      <w:r w:rsidRPr="004D4B8A">
        <w:rPr>
          <w:i/>
        </w:rPr>
        <w:t>(</w:t>
      </w:r>
      <w:r>
        <w:rPr>
          <w:i/>
        </w:rPr>
        <w:t>F, G</w:t>
      </w:r>
      <w:r w:rsidRPr="004D4B8A">
        <w:rPr>
          <w:i/>
        </w:rPr>
        <w:t xml:space="preserve">). </w:t>
      </w:r>
      <w:r>
        <w:rPr>
          <w:i/>
        </w:rPr>
        <w:t>Interestingly, the Milk control group did show an increase in stress-induced corticosterone response (</w:t>
      </w:r>
      <w:r w:rsidRPr="007E4C87">
        <w:rPr>
          <w:i/>
        </w:rPr>
        <w:t>F(1,20) = 15.936, p &lt; 0.001</w:t>
      </w:r>
      <w:r>
        <w:rPr>
          <w:i/>
        </w:rPr>
        <w:t xml:space="preserve">), which was analysed using a repeated measures ANOVA. </w:t>
      </w:r>
      <w:r w:rsidRPr="004D4B8A">
        <w:rPr>
          <w:i/>
        </w:rPr>
        <w:t>All data are expressed as mean ± SEM (n = 11-12). Dots on each graph represent individual animals.</w:t>
      </w:r>
      <w:r w:rsidRPr="0027778C">
        <w:rPr>
          <w:noProof/>
        </w:rPr>
        <w:t xml:space="preserve"> </w:t>
      </w:r>
    </w:p>
    <w:p w14:paraId="6D044771" w14:textId="77777777" w:rsidR="00A02E65" w:rsidRDefault="00A02E65" w:rsidP="00A02E65">
      <w:pPr>
        <w:sectPr w:rsidR="00A02E65" w:rsidSect="00F61C0F">
          <w:pgSz w:w="11906" w:h="16838"/>
          <w:pgMar w:top="1440" w:right="1440" w:bottom="1440" w:left="1440" w:header="708" w:footer="708" w:gutter="0"/>
          <w:lnNumType w:countBy="1" w:restart="continuous"/>
          <w:cols w:space="708"/>
          <w:docGrid w:linePitch="360"/>
        </w:sectPr>
      </w:pPr>
    </w:p>
    <w:p w14:paraId="5835BEBF" w14:textId="77777777" w:rsidR="00A02E65" w:rsidRDefault="00A02E65" w:rsidP="00A02E65">
      <w:r>
        <w:rPr>
          <w:noProof/>
        </w:rPr>
        <w:lastRenderedPageBreak/>
        <w:drawing>
          <wp:inline distT="0" distB="0" distL="0" distR="0" wp14:anchorId="2A7E0177" wp14:editId="3F0AF152">
            <wp:extent cx="5918787" cy="2009554"/>
            <wp:effectExtent l="0" t="0" r="6350" b="0"/>
            <wp:docPr id="7261" name="Picture 7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9889" cy="2016718"/>
                    </a:xfrm>
                    <a:prstGeom prst="rect">
                      <a:avLst/>
                    </a:prstGeom>
                    <a:noFill/>
                    <a:ln>
                      <a:noFill/>
                    </a:ln>
                  </pic:spPr>
                </pic:pic>
              </a:graphicData>
            </a:graphic>
          </wp:inline>
        </w:drawing>
      </w:r>
    </w:p>
    <w:p w14:paraId="20E3999A" w14:textId="70B0245F" w:rsidR="00A02E65" w:rsidRDefault="00A02E65" w:rsidP="00A02E65">
      <w:pPr>
        <w:pStyle w:val="NoSpacing"/>
        <w:spacing w:before="100" w:after="100"/>
      </w:pPr>
      <w:r>
        <w:rPr>
          <w:b/>
          <w:i/>
          <w:noProof/>
        </w:rPr>
        <w:t>Figure S</w:t>
      </w:r>
      <w:r>
        <w:rPr>
          <w:b/>
          <w:i/>
          <w:noProof/>
        </w:rPr>
        <w:t>5</w:t>
      </w:r>
      <w:r w:rsidRPr="004D4B8A">
        <w:rPr>
          <w:b/>
          <w:i/>
        </w:rPr>
        <w:t>. Kefir did not influence social preference or recognition.</w:t>
      </w:r>
      <w:r w:rsidRPr="004D4B8A">
        <w:rPr>
          <w:i/>
        </w:rPr>
        <w:t xml:space="preserve"> Social preference and recognition were assessed with the 3-chamber social interaction test (A, B). </w:t>
      </w:r>
      <w:r>
        <w:rPr>
          <w:i/>
        </w:rPr>
        <w:t xml:space="preserve">The presence of social preference and recognition were assessed using a paired </w:t>
      </w:r>
      <w:r w:rsidRPr="007E4C87">
        <w:rPr>
          <w:i/>
        </w:rPr>
        <w:t>Student’s t-test</w:t>
      </w:r>
      <w:r>
        <w:rPr>
          <w:i/>
        </w:rPr>
        <w:t xml:space="preserve">. </w:t>
      </w:r>
      <w:r w:rsidRPr="004D4B8A">
        <w:rPr>
          <w:i/>
        </w:rPr>
        <w:t>All data are expressed as mean ± SEM (n = 12).</w:t>
      </w:r>
      <w:r>
        <w:br w:type="page"/>
      </w:r>
    </w:p>
    <w:p w14:paraId="56887838" w14:textId="77777777" w:rsidR="00A02E65" w:rsidRDefault="00A02E65" w:rsidP="00A02E65">
      <w:r>
        <w:rPr>
          <w:noProof/>
        </w:rPr>
        <w:lastRenderedPageBreak/>
        <w:drawing>
          <wp:inline distT="0" distB="0" distL="0" distR="0" wp14:anchorId="21D8AE62" wp14:editId="10A6A60B">
            <wp:extent cx="5727700" cy="3390265"/>
            <wp:effectExtent l="0" t="0" r="635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7700" cy="3390265"/>
                    </a:xfrm>
                    <a:prstGeom prst="rect">
                      <a:avLst/>
                    </a:prstGeom>
                    <a:noFill/>
                    <a:ln>
                      <a:noFill/>
                    </a:ln>
                  </pic:spPr>
                </pic:pic>
              </a:graphicData>
            </a:graphic>
          </wp:inline>
        </w:drawing>
      </w:r>
    </w:p>
    <w:p w14:paraId="4C78DCED" w14:textId="612949AE" w:rsidR="00A02E65" w:rsidRDefault="00A02E65" w:rsidP="00A02E65">
      <w:pPr>
        <w:pStyle w:val="NoSpacing"/>
      </w:pPr>
      <w:r>
        <w:rPr>
          <w:b/>
          <w:i/>
          <w:noProof/>
        </w:rPr>
        <w:t>Figure S</w:t>
      </w:r>
      <w:r>
        <w:rPr>
          <w:b/>
          <w:i/>
          <w:noProof/>
        </w:rPr>
        <w:t>6</w:t>
      </w:r>
      <w:r w:rsidRPr="004D4B8A">
        <w:rPr>
          <w:b/>
          <w:i/>
        </w:rPr>
        <w:t xml:space="preserve">. </w:t>
      </w:r>
      <w:r>
        <w:rPr>
          <w:b/>
          <w:i/>
        </w:rPr>
        <w:t xml:space="preserve">Mice receiving milk gavage show a low-grade systemic inflammation. </w:t>
      </w:r>
      <w:r w:rsidRPr="009A6ACD">
        <w:rPr>
          <w:i/>
        </w:rPr>
        <w:t>LY6C</w:t>
      </w:r>
      <w:r w:rsidRPr="009A6ACD">
        <w:rPr>
          <w:i/>
          <w:vertAlign w:val="subscript"/>
        </w:rPr>
        <w:t>high</w:t>
      </w:r>
      <w:r w:rsidRPr="009A6ACD">
        <w:rPr>
          <w:i/>
        </w:rPr>
        <w:t xml:space="preserve"> </w:t>
      </w:r>
      <w:r>
        <w:rPr>
          <w:i/>
        </w:rPr>
        <w:t>m</w:t>
      </w:r>
      <w:r w:rsidRPr="009A6ACD">
        <w:rPr>
          <w:i/>
        </w:rPr>
        <w:t xml:space="preserve">onocytes </w:t>
      </w:r>
      <w:r>
        <w:rPr>
          <w:i/>
        </w:rPr>
        <w:t xml:space="preserve">were investigated at the end of the study using flow cytometry (A), see </w:t>
      </w:r>
      <w:r w:rsidRPr="009A6ACD">
        <w:rPr>
          <w:b/>
          <w:i/>
        </w:rPr>
        <w:t>figure S2</w:t>
      </w:r>
      <w:r>
        <w:rPr>
          <w:i/>
        </w:rPr>
        <w:t xml:space="preserve"> for gating. Plasma cytokines (i.e. IL-2, IL-6, IL-12p70, IL-1β) were also quantified at the end of the study (B-F). Differences between Und. Control and Milk control were analysed using an unpaired </w:t>
      </w:r>
      <w:r w:rsidRPr="007E4C87">
        <w:rPr>
          <w:i/>
        </w:rPr>
        <w:t>Student’s t-test</w:t>
      </w:r>
      <w:r>
        <w:rPr>
          <w:i/>
        </w:rPr>
        <w:t>. The Milk control groups showed elevated levels of LY6C</w:t>
      </w:r>
      <w:r>
        <w:rPr>
          <w:i/>
          <w:vertAlign w:val="superscript"/>
        </w:rPr>
        <w:t>high</w:t>
      </w:r>
      <w:r>
        <w:rPr>
          <w:i/>
        </w:rPr>
        <w:t xml:space="preserve"> monocytes (</w:t>
      </w:r>
      <w:r w:rsidRPr="00E76230">
        <w:rPr>
          <w:i/>
        </w:rPr>
        <w:t>t(22) = −2.437, p = 0.023</w:t>
      </w:r>
      <w:r>
        <w:rPr>
          <w:i/>
        </w:rPr>
        <w:t>), IFNγ (</w:t>
      </w:r>
      <w:r w:rsidRPr="00E76230">
        <w:rPr>
          <w:i/>
        </w:rPr>
        <w:t>t(22) = −</w:t>
      </w:r>
      <w:r>
        <w:rPr>
          <w:i/>
        </w:rPr>
        <w:t>4.514</w:t>
      </w:r>
      <w:r w:rsidRPr="00E76230">
        <w:rPr>
          <w:i/>
        </w:rPr>
        <w:t xml:space="preserve">, p </w:t>
      </w:r>
      <w:r>
        <w:rPr>
          <w:i/>
        </w:rPr>
        <w:t>&lt;</w:t>
      </w:r>
      <w:r w:rsidRPr="00E76230">
        <w:rPr>
          <w:i/>
        </w:rPr>
        <w:t xml:space="preserve"> 0.0</w:t>
      </w:r>
      <w:r>
        <w:rPr>
          <w:i/>
        </w:rPr>
        <w:t>01), IL-2 (</w:t>
      </w:r>
      <w:r w:rsidRPr="00E76230">
        <w:rPr>
          <w:i/>
        </w:rPr>
        <w:t>t(</w:t>
      </w:r>
      <w:r>
        <w:rPr>
          <w:i/>
        </w:rPr>
        <w:t>19</w:t>
      </w:r>
      <w:r w:rsidRPr="00E76230">
        <w:rPr>
          <w:i/>
        </w:rPr>
        <w:t>) = −</w:t>
      </w:r>
      <w:r>
        <w:rPr>
          <w:i/>
        </w:rPr>
        <w:t>3.838</w:t>
      </w:r>
      <w:r w:rsidRPr="00E76230">
        <w:rPr>
          <w:i/>
        </w:rPr>
        <w:t xml:space="preserve">, p </w:t>
      </w:r>
      <w:r>
        <w:rPr>
          <w:i/>
        </w:rPr>
        <w:t>&lt;</w:t>
      </w:r>
      <w:r w:rsidRPr="00E76230">
        <w:rPr>
          <w:i/>
        </w:rPr>
        <w:t xml:space="preserve"> 0.0</w:t>
      </w:r>
      <w:r>
        <w:rPr>
          <w:i/>
        </w:rPr>
        <w:t>01), and IL-6 (</w:t>
      </w:r>
      <w:r w:rsidRPr="00E76230">
        <w:rPr>
          <w:i/>
        </w:rPr>
        <w:t>t(</w:t>
      </w:r>
      <w:r>
        <w:rPr>
          <w:i/>
        </w:rPr>
        <w:t>12</w:t>
      </w:r>
      <w:r w:rsidRPr="00E76230">
        <w:rPr>
          <w:i/>
        </w:rPr>
        <w:t>) = −</w:t>
      </w:r>
      <w:r>
        <w:rPr>
          <w:i/>
        </w:rPr>
        <w:t>2.354</w:t>
      </w:r>
      <w:r w:rsidRPr="00E76230">
        <w:rPr>
          <w:i/>
        </w:rPr>
        <w:t xml:space="preserve">, p </w:t>
      </w:r>
      <w:r>
        <w:rPr>
          <w:i/>
        </w:rPr>
        <w:t>=</w:t>
      </w:r>
      <w:r w:rsidRPr="00E76230">
        <w:rPr>
          <w:i/>
        </w:rPr>
        <w:t xml:space="preserve"> 0.</w:t>
      </w:r>
      <w:r>
        <w:rPr>
          <w:i/>
        </w:rPr>
        <w:t xml:space="preserve">036). Similarly, no IL-12p70 and IL-1β were detected in the Und control group but were detected in several samples of the other groups. Values under the fit curve and detection limit were excluded from the cytokine analysis. </w:t>
      </w:r>
      <w:r w:rsidRPr="004D4B8A">
        <w:rPr>
          <w:i/>
        </w:rPr>
        <w:t>All data are expressed as mean ± SEM. Dots on each graph represent individual animals</w:t>
      </w:r>
      <w:r>
        <w:br w:type="page"/>
      </w:r>
    </w:p>
    <w:p w14:paraId="53C04F1B" w14:textId="77777777" w:rsidR="00A02E65" w:rsidRDefault="00A02E65" w:rsidP="00A02E65">
      <w:r>
        <w:rPr>
          <w:noProof/>
        </w:rPr>
        <w:lastRenderedPageBreak/>
        <w:drawing>
          <wp:inline distT="0" distB="0" distL="0" distR="0" wp14:anchorId="643CAF90" wp14:editId="072810AA">
            <wp:extent cx="5732145" cy="3411855"/>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2145" cy="3411855"/>
                    </a:xfrm>
                    <a:prstGeom prst="rect">
                      <a:avLst/>
                    </a:prstGeom>
                    <a:noFill/>
                    <a:ln>
                      <a:noFill/>
                    </a:ln>
                  </pic:spPr>
                </pic:pic>
              </a:graphicData>
            </a:graphic>
          </wp:inline>
        </w:drawing>
      </w:r>
    </w:p>
    <w:p w14:paraId="13A7A4F0" w14:textId="0C114821" w:rsidR="00A02E65" w:rsidRDefault="00A02E65" w:rsidP="00A02E65">
      <w:pPr>
        <w:pStyle w:val="NoSpacing"/>
        <w:rPr>
          <w:i/>
        </w:rPr>
      </w:pPr>
      <w:r>
        <w:rPr>
          <w:b/>
          <w:i/>
          <w:noProof/>
        </w:rPr>
        <w:t>Figure S</w:t>
      </w:r>
      <w:r>
        <w:rPr>
          <w:b/>
          <w:i/>
          <w:noProof/>
        </w:rPr>
        <w:t>7</w:t>
      </w:r>
      <w:r w:rsidRPr="004D4B8A">
        <w:rPr>
          <w:b/>
          <w:i/>
        </w:rPr>
        <w:t xml:space="preserve">. Kefir </w:t>
      </w:r>
      <w:r>
        <w:rPr>
          <w:b/>
          <w:i/>
        </w:rPr>
        <w:t xml:space="preserve">administration did not affect the prevalence of MLN CD103+ Dendritic cells. </w:t>
      </w:r>
      <w:r>
        <w:rPr>
          <w:i/>
        </w:rPr>
        <w:t>Mesenteric lymph node (MLN) CD103+ dendritic cells (CD11c+, MHC-II+, CD103+) were quantified using flow cytometry (A, B). Interestingly, the Milk control group did show increased levels of MLN CD103+ dendritic cells (</w:t>
      </w:r>
      <w:r w:rsidRPr="00E76230">
        <w:rPr>
          <w:i/>
        </w:rPr>
        <w:t>t(</w:t>
      </w:r>
      <w:r>
        <w:rPr>
          <w:i/>
        </w:rPr>
        <w:t>22</w:t>
      </w:r>
      <w:r w:rsidRPr="00E76230">
        <w:rPr>
          <w:i/>
        </w:rPr>
        <w:t>) = −</w:t>
      </w:r>
      <w:r>
        <w:rPr>
          <w:i/>
        </w:rPr>
        <w:t>3.165</w:t>
      </w:r>
      <w:r w:rsidRPr="00E76230">
        <w:rPr>
          <w:i/>
        </w:rPr>
        <w:t xml:space="preserve">, p </w:t>
      </w:r>
      <w:r>
        <w:rPr>
          <w:i/>
        </w:rPr>
        <w:t>=</w:t>
      </w:r>
      <w:r w:rsidRPr="00E76230">
        <w:rPr>
          <w:i/>
        </w:rPr>
        <w:t xml:space="preserve"> 0.</w:t>
      </w:r>
      <w:r>
        <w:rPr>
          <w:i/>
        </w:rPr>
        <w:t xml:space="preserve">004), as analyzed by an unpaired </w:t>
      </w:r>
      <w:r w:rsidRPr="007E4C87">
        <w:rPr>
          <w:i/>
        </w:rPr>
        <w:t>Student’s t-test</w:t>
      </w:r>
      <w:r>
        <w:rPr>
          <w:i/>
        </w:rPr>
        <w:t xml:space="preserve"> (B). </w:t>
      </w:r>
      <w:r w:rsidRPr="004D4B8A">
        <w:rPr>
          <w:i/>
        </w:rPr>
        <w:t>All data are expressed as mean ± SEM</w:t>
      </w:r>
      <w:r>
        <w:rPr>
          <w:i/>
        </w:rPr>
        <w:t xml:space="preserve"> (n = 12)</w:t>
      </w:r>
      <w:r w:rsidRPr="004D4B8A">
        <w:rPr>
          <w:i/>
        </w:rPr>
        <w:t>. Dots on each graph represent individual animals</w:t>
      </w:r>
      <w:r>
        <w:rPr>
          <w:i/>
        </w:rPr>
        <w:t>.</w:t>
      </w:r>
    </w:p>
    <w:p w14:paraId="216F54C5" w14:textId="77777777" w:rsidR="00A02E65" w:rsidRPr="009A6ACD" w:rsidRDefault="00A02E65" w:rsidP="00A02E65">
      <w:pPr>
        <w:pStyle w:val="NoSpacing"/>
        <w:rPr>
          <w:i/>
        </w:rPr>
      </w:pPr>
      <w:r>
        <w:rPr>
          <w:noProof/>
          <w:lang w:eastAsia="en-IE"/>
        </w:rPr>
        <w:lastRenderedPageBreak/>
        <w:drawing>
          <wp:inline distT="0" distB="0" distL="0" distR="0" wp14:anchorId="27140C12" wp14:editId="471FDEDD">
            <wp:extent cx="5715000" cy="5467350"/>
            <wp:effectExtent l="0" t="0" r="0" b="0"/>
            <wp:docPr id="7" name="Picture 7" descr="G:\PhD_projects\Mouse\Write_Up\figures_updated\bpseudolongum_lreuteri_strainphlan_panphl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PhD_projects\Mouse\Write_Up\figures_updated\bpseudolongum_lreuteri_strainphlan_panphlan.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15000" cy="5467350"/>
                    </a:xfrm>
                    <a:prstGeom prst="rect">
                      <a:avLst/>
                    </a:prstGeom>
                    <a:noFill/>
                    <a:ln>
                      <a:noFill/>
                    </a:ln>
                  </pic:spPr>
                </pic:pic>
              </a:graphicData>
            </a:graphic>
          </wp:inline>
        </w:drawing>
      </w:r>
    </w:p>
    <w:p w14:paraId="4713CB47" w14:textId="05A49308" w:rsidR="00A02E65" w:rsidRDefault="00A02E65" w:rsidP="00A02E65">
      <w:pPr>
        <w:pStyle w:val="NoSpacing"/>
        <w:rPr>
          <w:i/>
        </w:rPr>
      </w:pPr>
      <w:r>
        <w:rPr>
          <w:b/>
          <w:i/>
        </w:rPr>
        <w:t>Figure S</w:t>
      </w:r>
      <w:r>
        <w:rPr>
          <w:b/>
          <w:i/>
        </w:rPr>
        <w:t>8</w:t>
      </w:r>
      <w:r w:rsidRPr="00C930F6">
        <w:rPr>
          <w:b/>
          <w:i/>
        </w:rPr>
        <w:t>. Strain-level analysis of Bifidobacterium pseudolongum and Lactobacillus reuteri detected in the mouse gut.</w:t>
      </w:r>
      <w:r w:rsidRPr="00C930F6">
        <w:rPr>
          <w:i/>
        </w:rPr>
        <w:t xml:space="preserve"> (A) PCA plot based on gene families presence/absence matrices from PanPhlAn. The reference strains which shared the most gene families with that detected in the murine gastrointestinal tract are labelled. (B) Phylogenetic trees generated from StrainPhlAn outputs. Note that colours represent the group to which strains belong and shapes represent the source of the strains.</w:t>
      </w:r>
      <w:r>
        <w:rPr>
          <w:i/>
        </w:rPr>
        <w:br w:type="page"/>
      </w:r>
    </w:p>
    <w:p w14:paraId="5D6A4818" w14:textId="79C60E89" w:rsidR="00A02E65" w:rsidRPr="00255177" w:rsidRDefault="00A02E65" w:rsidP="00A02E65">
      <w:pPr>
        <w:pStyle w:val="NoSpacing"/>
        <w:spacing w:before="100" w:after="100"/>
        <w:rPr>
          <w:i/>
        </w:rPr>
      </w:pPr>
      <w:r>
        <w:rPr>
          <w:noProof/>
        </w:rPr>
        <w:lastRenderedPageBreak/>
        <w:drawing>
          <wp:inline distT="0" distB="0" distL="0" distR="0" wp14:anchorId="2CB59356" wp14:editId="4CE215EB">
            <wp:extent cx="5731510" cy="1968988"/>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1968988"/>
                    </a:xfrm>
                    <a:prstGeom prst="rect">
                      <a:avLst/>
                    </a:prstGeom>
                    <a:noFill/>
                    <a:ln>
                      <a:noFill/>
                    </a:ln>
                  </pic:spPr>
                </pic:pic>
              </a:graphicData>
            </a:graphic>
          </wp:inline>
        </w:drawing>
      </w:r>
      <w:r w:rsidRPr="001664ED">
        <w:rPr>
          <w:b/>
          <w:i/>
        </w:rPr>
        <w:t xml:space="preserve"> </w:t>
      </w:r>
      <w:r>
        <w:rPr>
          <w:b/>
          <w:i/>
        </w:rPr>
        <w:t>Figure S</w:t>
      </w:r>
      <w:r>
        <w:rPr>
          <w:b/>
          <w:i/>
        </w:rPr>
        <w:t>9</w:t>
      </w:r>
      <w:r>
        <w:rPr>
          <w:b/>
          <w:i/>
        </w:rPr>
        <w:t xml:space="preserve">: Faecal short-chain fatty acid levels were unaffected by kefir. </w:t>
      </w:r>
      <w:r w:rsidRPr="00031E83">
        <w:rPr>
          <w:i/>
        </w:rPr>
        <w:t xml:space="preserve">The presence of enzymes involved in SCFA metabolism were detected in the kefir (e.g. Acetoacetyl-CoA reductase (EC: 1.1.1.36), Acetyl-CoA C-acetyltransferase (EC: 2.3.1.9), and Aconitate hydratase (EC: 4.2.1.3)) (data not shown). We subsequently analyzed </w:t>
      </w:r>
      <w:r>
        <w:rPr>
          <w:i/>
        </w:rPr>
        <w:t xml:space="preserve">the three principle SCFAs (acetate, propionate and butyrate) by </w:t>
      </w:r>
      <w:r w:rsidRPr="00031E83">
        <w:rPr>
          <w:i/>
        </w:rPr>
        <w:t xml:space="preserve">chromatography–mass spectrometry, where no differences were observed. In addition, no changes were found in the predicted levels of SCFA-metabolizing enzymes in the gastrointestinal microbiota of mice receiving kefir. </w:t>
      </w:r>
      <w:r w:rsidRPr="004D4B8A">
        <w:rPr>
          <w:i/>
        </w:rPr>
        <w:t xml:space="preserve">All data are expressed as mean ± SEM (n = </w:t>
      </w:r>
      <w:r>
        <w:rPr>
          <w:i/>
        </w:rPr>
        <w:t>6</w:t>
      </w:r>
      <w:r w:rsidRPr="004D4B8A">
        <w:rPr>
          <w:i/>
        </w:rPr>
        <w:t>)</w:t>
      </w:r>
      <w:r>
        <w:rPr>
          <w:i/>
        </w:rPr>
        <w:t xml:space="preserve">. </w:t>
      </w:r>
      <w:r w:rsidRPr="004D4B8A">
        <w:rPr>
          <w:i/>
        </w:rPr>
        <w:t>Dots on each graph represent individual animals.</w:t>
      </w:r>
    </w:p>
    <w:p w14:paraId="24F96F4A" w14:textId="77777777" w:rsidR="00A02E65" w:rsidRDefault="00A02E65" w:rsidP="00962A70">
      <w:pPr>
        <w:pStyle w:val="NoSpacing"/>
        <w:spacing w:before="100" w:after="100"/>
        <w:ind w:right="-46"/>
        <w:rPr>
          <w:noProof/>
        </w:rPr>
      </w:pPr>
    </w:p>
    <w:p w14:paraId="21558BBA" w14:textId="05799944" w:rsidR="003E4461" w:rsidRDefault="00146FA8" w:rsidP="00962A70">
      <w:pPr>
        <w:pStyle w:val="NoSpacing"/>
        <w:spacing w:before="100" w:after="100"/>
        <w:ind w:right="-46"/>
        <w:sectPr w:rsidR="003E4461" w:rsidSect="00962A70">
          <w:footerReference w:type="default" r:id="rId18"/>
          <w:pgSz w:w="11906" w:h="16838"/>
          <w:pgMar w:top="1440" w:right="1440" w:bottom="1440" w:left="1440" w:header="708" w:footer="708" w:gutter="0"/>
          <w:lnNumType w:countBy="1" w:restart="continuous"/>
          <w:cols w:space="708"/>
          <w:docGrid w:linePitch="360"/>
        </w:sectPr>
      </w:pPr>
      <w:r>
        <w:rPr>
          <w:noProof/>
        </w:rPr>
        <w:fldChar w:fldCharType="begin"/>
      </w:r>
      <w:r>
        <w:instrText xml:space="preserve"> ADDIN EN.REFLIST </w:instrText>
      </w:r>
      <w:r>
        <w:rPr>
          <w:noProof/>
        </w:rPr>
        <w:fldChar w:fldCharType="end"/>
      </w:r>
    </w:p>
    <w:p w14:paraId="4DF35060" w14:textId="16A8ECBA" w:rsidR="00275007" w:rsidRDefault="00976B6E" w:rsidP="00D47CE7">
      <w:pPr>
        <w:pStyle w:val="NoSpacing"/>
        <w:spacing w:before="100" w:after="100"/>
      </w:pPr>
      <w:r>
        <w:rPr>
          <w:noProof/>
        </w:rPr>
        <w:lastRenderedPageBreak/>
        <w:drawing>
          <wp:inline distT="0" distB="0" distL="0" distR="0" wp14:anchorId="026C60C0" wp14:editId="04ED44E3">
            <wp:extent cx="5731510" cy="2230578"/>
            <wp:effectExtent l="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2230578"/>
                    </a:xfrm>
                    <a:prstGeom prst="rect">
                      <a:avLst/>
                    </a:prstGeom>
                    <a:noFill/>
                    <a:ln>
                      <a:noFill/>
                    </a:ln>
                  </pic:spPr>
                </pic:pic>
              </a:graphicData>
            </a:graphic>
          </wp:inline>
        </w:drawing>
      </w:r>
      <w:r w:rsidRPr="00976B6E">
        <w:rPr>
          <w:b/>
          <w:i/>
          <w:noProof/>
        </w:rPr>
        <w:t xml:space="preserve"> </w:t>
      </w:r>
      <w:r>
        <w:rPr>
          <w:b/>
          <w:i/>
          <w:noProof/>
        </w:rPr>
        <w:t>Figure S</w:t>
      </w:r>
      <w:r w:rsidR="00AA3C8B">
        <w:rPr>
          <w:b/>
          <w:i/>
          <w:noProof/>
        </w:rPr>
        <w:t>1</w:t>
      </w:r>
      <w:r w:rsidR="00A02E65">
        <w:rPr>
          <w:b/>
          <w:i/>
          <w:noProof/>
        </w:rPr>
        <w:t>0</w:t>
      </w:r>
      <w:r w:rsidRPr="004D4B8A">
        <w:rPr>
          <w:b/>
          <w:i/>
        </w:rPr>
        <w:t>. Room layout with cues for the appetitive Y-maze and food restriction.</w:t>
      </w:r>
      <w:r w:rsidRPr="004D4B8A">
        <w:rPr>
          <w:i/>
        </w:rPr>
        <w:t xml:space="preserve"> The room layout with the various cues used in the appetitive Y-maze is depicted (A).</w:t>
      </w:r>
      <w:r>
        <w:rPr>
          <w:i/>
        </w:rPr>
        <w:t xml:space="preserve"> M</w:t>
      </w:r>
      <w:r w:rsidRPr="004D4B8A">
        <w:rPr>
          <w:i/>
        </w:rPr>
        <w:t>ice were kept on food restriction of 90-95% of the free-feeding body weight. All data are expressed as mean ± SEM (n = 12).</w:t>
      </w:r>
      <w:r w:rsidR="00275007">
        <w:br w:type="page"/>
      </w:r>
    </w:p>
    <w:p w14:paraId="3B8E058E" w14:textId="77777777" w:rsidR="00275007" w:rsidRDefault="00275007" w:rsidP="006679D7">
      <w:pPr>
        <w:sectPr w:rsidR="00275007" w:rsidSect="00F61C0F">
          <w:pgSz w:w="11906" w:h="16838"/>
          <w:pgMar w:top="1440" w:right="1440" w:bottom="1440" w:left="1440" w:header="708" w:footer="708" w:gutter="0"/>
          <w:lnNumType w:countBy="1" w:restart="continuous"/>
          <w:cols w:space="708"/>
          <w:docGrid w:linePitch="360"/>
        </w:sectPr>
      </w:pPr>
    </w:p>
    <w:p w14:paraId="23410FFE" w14:textId="4CA7F4F1" w:rsidR="00275007" w:rsidRDefault="00275007" w:rsidP="006679D7">
      <w:r>
        <w:rPr>
          <w:noProof/>
        </w:rPr>
        <w:lastRenderedPageBreak/>
        <w:drawing>
          <wp:inline distT="0" distB="0" distL="0" distR="0" wp14:anchorId="41C384BF" wp14:editId="51761E91">
            <wp:extent cx="8898181" cy="403761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920474" cy="4047726"/>
                    </a:xfrm>
                    <a:prstGeom prst="rect">
                      <a:avLst/>
                    </a:prstGeom>
                    <a:noFill/>
                    <a:ln>
                      <a:noFill/>
                    </a:ln>
                  </pic:spPr>
                </pic:pic>
              </a:graphicData>
            </a:graphic>
          </wp:inline>
        </w:drawing>
      </w:r>
    </w:p>
    <w:p w14:paraId="5E5154A1" w14:textId="444F27F8" w:rsidR="00275007" w:rsidRPr="00FB78DD" w:rsidRDefault="00275007" w:rsidP="006679D7">
      <w:pPr>
        <w:pStyle w:val="NoSpacing"/>
        <w:spacing w:before="100" w:after="100"/>
        <w:rPr>
          <w:i/>
        </w:rPr>
        <w:sectPr w:rsidR="00275007" w:rsidRPr="00FB78DD" w:rsidSect="00F61C0F">
          <w:pgSz w:w="16838" w:h="11906" w:orient="landscape"/>
          <w:pgMar w:top="1440" w:right="1440" w:bottom="1440" w:left="1440" w:header="708" w:footer="708" w:gutter="0"/>
          <w:lnNumType w:countBy="1" w:restart="continuous"/>
          <w:cols w:space="708"/>
          <w:docGrid w:linePitch="360"/>
        </w:sectPr>
      </w:pPr>
      <w:r>
        <w:rPr>
          <w:b/>
          <w:i/>
        </w:rPr>
        <w:t>Figure S</w:t>
      </w:r>
      <w:r w:rsidR="00A02E65">
        <w:rPr>
          <w:b/>
          <w:i/>
        </w:rPr>
        <w:t>11</w:t>
      </w:r>
      <w:r>
        <w:rPr>
          <w:b/>
          <w:i/>
        </w:rPr>
        <w:t>: Flow cytometry gating of Treg cells, inflammatory monocytes and neutrophils.</w:t>
      </w:r>
      <w:r w:rsidR="00FB78DD">
        <w:rPr>
          <w:b/>
          <w:i/>
        </w:rPr>
        <w:t xml:space="preserve"> </w:t>
      </w:r>
      <w:r w:rsidR="00FB78DD" w:rsidRPr="007126F9">
        <w:rPr>
          <w:i/>
        </w:rPr>
        <w:t xml:space="preserve">Cells </w:t>
      </w:r>
      <w:r w:rsidR="00FB78DD">
        <w:rPr>
          <w:i/>
        </w:rPr>
        <w:t xml:space="preserve">(PBMCs) </w:t>
      </w:r>
      <w:r w:rsidR="00FB78DD" w:rsidRPr="007126F9">
        <w:rPr>
          <w:i/>
        </w:rPr>
        <w:t xml:space="preserve">were selected based on FSC-height and SSC-height. </w:t>
      </w:r>
      <w:r w:rsidR="00FB78DD">
        <w:rPr>
          <w:i/>
        </w:rPr>
        <w:t xml:space="preserve">The top four figures show the gating strategy for </w:t>
      </w:r>
      <w:r w:rsidR="00FB78DD" w:rsidRPr="007126F9">
        <w:rPr>
          <w:i/>
        </w:rPr>
        <w:t>T</w:t>
      </w:r>
      <w:r w:rsidR="00FB78DD">
        <w:rPr>
          <w:i/>
        </w:rPr>
        <w:t xml:space="preserve"> </w:t>
      </w:r>
      <w:r w:rsidR="00FB78DD" w:rsidRPr="007126F9">
        <w:rPr>
          <w:i/>
        </w:rPr>
        <w:t>reg</w:t>
      </w:r>
      <w:r w:rsidR="00FB78DD">
        <w:rPr>
          <w:i/>
        </w:rPr>
        <w:t xml:space="preserve">ulatory (Treg: CD4+, CD25+, FOXP3+), whereas the bottom 3 graphs show the gating for </w:t>
      </w:r>
      <w:r w:rsidR="00FB78DD" w:rsidRPr="007126F9">
        <w:rPr>
          <w:i/>
        </w:rPr>
        <w:t>monocytes (CD11b+, LY6C</w:t>
      </w:r>
      <w:r w:rsidR="00FB78DD" w:rsidRPr="00E60DD8">
        <w:rPr>
          <w:i/>
          <w:vertAlign w:val="superscript"/>
        </w:rPr>
        <w:t>high</w:t>
      </w:r>
      <w:r w:rsidR="00FB78DD" w:rsidRPr="007126F9">
        <w:rPr>
          <w:i/>
        </w:rPr>
        <w:t>) (F) and neutrophils (CD11b+, LY6</w:t>
      </w:r>
      <w:r w:rsidR="00E60DD8">
        <w:rPr>
          <w:i/>
        </w:rPr>
        <w:t>C</w:t>
      </w:r>
      <w:r w:rsidR="00FB78DD" w:rsidRPr="00E60DD8">
        <w:rPr>
          <w:i/>
          <w:vertAlign w:val="superscript"/>
        </w:rPr>
        <w:t>mid</w:t>
      </w:r>
      <w:r w:rsidR="00FB78DD" w:rsidRPr="007126F9">
        <w:rPr>
          <w:i/>
        </w:rPr>
        <w:t>, SSC</w:t>
      </w:r>
      <w:r w:rsidR="00FB78DD" w:rsidRPr="00E60DD8">
        <w:rPr>
          <w:i/>
          <w:vertAlign w:val="superscript"/>
        </w:rPr>
        <w:t>hig</w:t>
      </w:r>
      <w:r w:rsidR="00E60DD8" w:rsidRPr="00E60DD8">
        <w:rPr>
          <w:i/>
          <w:vertAlign w:val="superscript"/>
        </w:rPr>
        <w:t>h</w:t>
      </w:r>
      <w:r w:rsidR="00FB78DD" w:rsidRPr="007126F9">
        <w:rPr>
          <w:i/>
        </w:rPr>
        <w:t>)</w:t>
      </w:r>
      <w:r w:rsidR="00FB78DD">
        <w:rPr>
          <w:i/>
        </w:rPr>
        <w:t xml:space="preserve">. </w:t>
      </w:r>
      <w:r w:rsidR="00FB78DD" w:rsidRPr="007126F9">
        <w:rPr>
          <w:i/>
        </w:rPr>
        <w:t xml:space="preserve">T helper cells </w:t>
      </w:r>
      <w:r w:rsidR="00FB78DD">
        <w:rPr>
          <w:i/>
        </w:rPr>
        <w:t xml:space="preserve">(CD4+) </w:t>
      </w:r>
      <w:r w:rsidR="00FB78DD" w:rsidRPr="007126F9">
        <w:rPr>
          <w:i/>
        </w:rPr>
        <w:t>were subsequently selected based on CD4 receptor expressions and T</w:t>
      </w:r>
      <w:r w:rsidR="00FB78DD">
        <w:rPr>
          <w:i/>
        </w:rPr>
        <w:t xml:space="preserve">reg </w:t>
      </w:r>
      <w:r w:rsidR="00FB78DD" w:rsidRPr="007126F9">
        <w:rPr>
          <w:i/>
        </w:rPr>
        <w:t>cells were selected on CD25 receptor expression and F</w:t>
      </w:r>
      <w:r w:rsidR="00FB78DD">
        <w:rPr>
          <w:i/>
        </w:rPr>
        <w:t>OX</w:t>
      </w:r>
      <w:r w:rsidR="00FB78DD" w:rsidRPr="007126F9">
        <w:rPr>
          <w:i/>
        </w:rPr>
        <w:t>P3 transcription factor expression Finally, cells were analy</w:t>
      </w:r>
      <w:r w:rsidR="00E76230">
        <w:rPr>
          <w:i/>
        </w:rPr>
        <w:t>s</w:t>
      </w:r>
      <w:r w:rsidR="00FB78DD" w:rsidRPr="007126F9">
        <w:rPr>
          <w:i/>
        </w:rPr>
        <w:t>ed for the expression of the transcription factor Helios, as measure of their origin (i.e. periphery (pTreg)</w:t>
      </w:r>
      <w:r w:rsidR="00FB78DD">
        <w:rPr>
          <w:i/>
        </w:rPr>
        <w:t>. M</w:t>
      </w:r>
      <w:r w:rsidR="00FB78DD" w:rsidRPr="007126F9">
        <w:rPr>
          <w:i/>
        </w:rPr>
        <w:t>onocytes</w:t>
      </w:r>
      <w:r w:rsidR="00FB78DD">
        <w:rPr>
          <w:i/>
        </w:rPr>
        <w:t xml:space="preserve"> were selected using LY6C and CD11b expression. Neutrophils were gated by first selecting CD11b+, LY6C</w:t>
      </w:r>
      <w:r w:rsidR="00E60DD8" w:rsidRPr="00E60DD8">
        <w:rPr>
          <w:i/>
          <w:vertAlign w:val="superscript"/>
        </w:rPr>
        <w:t>-/</w:t>
      </w:r>
      <w:r w:rsidR="00E60DD8">
        <w:rPr>
          <w:i/>
          <w:vertAlign w:val="superscript"/>
        </w:rPr>
        <w:t>mid</w:t>
      </w:r>
      <w:r w:rsidR="00FB78DD">
        <w:rPr>
          <w:i/>
        </w:rPr>
        <w:t xml:space="preserve"> cells, after which SSC</w:t>
      </w:r>
      <w:r w:rsidR="00FB78DD" w:rsidRPr="00E60DD8">
        <w:rPr>
          <w:i/>
          <w:vertAlign w:val="superscript"/>
        </w:rPr>
        <w:t>high</w:t>
      </w:r>
      <w:r w:rsidR="00FB78DD">
        <w:rPr>
          <w:i/>
        </w:rPr>
        <w:t>, LY6C</w:t>
      </w:r>
      <w:r w:rsidR="00FB78DD" w:rsidRPr="00E60DD8">
        <w:rPr>
          <w:i/>
          <w:vertAlign w:val="superscript"/>
        </w:rPr>
        <w:t>mid</w:t>
      </w:r>
      <w:r w:rsidR="00FB78DD">
        <w:rPr>
          <w:i/>
        </w:rPr>
        <w:t xml:space="preserve"> cells were selected.</w:t>
      </w:r>
    </w:p>
    <w:p w14:paraId="016D3A7F" w14:textId="36A569D5" w:rsidR="003519E3" w:rsidRPr="001B1C94" w:rsidRDefault="003519E3" w:rsidP="006679D7">
      <w:pPr>
        <w:rPr>
          <w:b/>
          <w:i/>
          <w:lang w:val="en-US"/>
        </w:rPr>
      </w:pPr>
      <w:bookmarkStart w:id="0" w:name="_GoBack"/>
      <w:bookmarkEnd w:id="0"/>
      <w:r w:rsidRPr="001B1C94">
        <w:rPr>
          <w:b/>
          <w:lang w:val="en-US"/>
        </w:rPr>
        <w:lastRenderedPageBreak/>
        <w:t>Table S1: Reference genomes which were included in the custom PanPhlAn pangenome databases used in this study.</w:t>
      </w:r>
    </w:p>
    <w:tbl>
      <w:tblPr>
        <w:tblW w:w="6227" w:type="dxa"/>
        <w:tblInd w:w="93" w:type="dxa"/>
        <w:tblLook w:val="04A0" w:firstRow="1" w:lastRow="0" w:firstColumn="1" w:lastColumn="0" w:noHBand="0" w:noVBand="1"/>
      </w:tblPr>
      <w:tblGrid>
        <w:gridCol w:w="3120"/>
        <w:gridCol w:w="1883"/>
        <w:gridCol w:w="1363"/>
      </w:tblGrid>
      <w:tr w:rsidR="003519E3" w:rsidRPr="0064709B" w14:paraId="601809BD" w14:textId="77777777" w:rsidTr="00976B6E">
        <w:trPr>
          <w:trHeight w:val="300"/>
        </w:trPr>
        <w:tc>
          <w:tcPr>
            <w:tcW w:w="3120" w:type="dxa"/>
            <w:tcBorders>
              <w:top w:val="single" w:sz="4" w:space="0" w:color="auto"/>
              <w:left w:val="nil"/>
              <w:bottom w:val="single" w:sz="4" w:space="0" w:color="auto"/>
              <w:right w:val="nil"/>
            </w:tcBorders>
            <w:shd w:val="clear" w:color="000000" w:fill="FFFFFF"/>
            <w:noWrap/>
            <w:vAlign w:val="bottom"/>
            <w:hideMark/>
          </w:tcPr>
          <w:p w14:paraId="5669C9DD" w14:textId="77777777" w:rsidR="003519E3" w:rsidRPr="0064709B" w:rsidRDefault="003519E3" w:rsidP="006679D7">
            <w:pPr>
              <w:spacing w:after="0" w:line="240" w:lineRule="auto"/>
              <w:rPr>
                <w:b/>
                <w:bCs/>
                <w:color w:val="000000"/>
                <w:lang w:eastAsia="en-IE"/>
              </w:rPr>
            </w:pPr>
            <w:r w:rsidRPr="0064709B">
              <w:rPr>
                <w:b/>
                <w:bCs/>
                <w:color w:val="000000"/>
                <w:lang w:eastAsia="en-IE"/>
              </w:rPr>
              <w:t>Species</w:t>
            </w:r>
          </w:p>
        </w:tc>
        <w:tc>
          <w:tcPr>
            <w:tcW w:w="1744" w:type="dxa"/>
            <w:tcBorders>
              <w:top w:val="single" w:sz="4" w:space="0" w:color="auto"/>
              <w:left w:val="nil"/>
              <w:bottom w:val="single" w:sz="4" w:space="0" w:color="auto"/>
              <w:right w:val="nil"/>
            </w:tcBorders>
            <w:shd w:val="clear" w:color="000000" w:fill="FFFFFF"/>
            <w:noWrap/>
            <w:vAlign w:val="bottom"/>
            <w:hideMark/>
          </w:tcPr>
          <w:p w14:paraId="3372182D" w14:textId="77777777" w:rsidR="003519E3" w:rsidRPr="0064709B" w:rsidRDefault="003519E3" w:rsidP="006679D7">
            <w:pPr>
              <w:spacing w:after="0" w:line="240" w:lineRule="auto"/>
              <w:rPr>
                <w:b/>
                <w:bCs/>
                <w:color w:val="000000"/>
                <w:lang w:eastAsia="en-IE"/>
              </w:rPr>
            </w:pPr>
            <w:r w:rsidRPr="0064709B">
              <w:rPr>
                <w:b/>
                <w:bCs/>
                <w:color w:val="000000"/>
                <w:lang w:eastAsia="en-IE"/>
              </w:rPr>
              <w:t>Assembly</w:t>
            </w:r>
          </w:p>
        </w:tc>
        <w:tc>
          <w:tcPr>
            <w:tcW w:w="1363" w:type="dxa"/>
            <w:tcBorders>
              <w:top w:val="single" w:sz="4" w:space="0" w:color="auto"/>
              <w:left w:val="nil"/>
              <w:bottom w:val="single" w:sz="4" w:space="0" w:color="auto"/>
              <w:right w:val="nil"/>
            </w:tcBorders>
            <w:shd w:val="clear" w:color="000000" w:fill="FFFFFF"/>
            <w:noWrap/>
            <w:vAlign w:val="bottom"/>
            <w:hideMark/>
          </w:tcPr>
          <w:p w14:paraId="3B164313" w14:textId="77777777" w:rsidR="003519E3" w:rsidRPr="0064709B" w:rsidRDefault="003519E3" w:rsidP="006679D7">
            <w:pPr>
              <w:spacing w:after="0" w:line="240" w:lineRule="auto"/>
              <w:rPr>
                <w:b/>
                <w:bCs/>
                <w:color w:val="000000"/>
                <w:lang w:eastAsia="en-IE"/>
              </w:rPr>
            </w:pPr>
            <w:r w:rsidRPr="0064709B">
              <w:rPr>
                <w:b/>
                <w:bCs/>
                <w:color w:val="000000"/>
                <w:lang w:eastAsia="en-IE"/>
              </w:rPr>
              <w:t>Strain</w:t>
            </w:r>
          </w:p>
        </w:tc>
      </w:tr>
      <w:tr w:rsidR="003519E3" w:rsidRPr="0064709B" w14:paraId="269FB4D2" w14:textId="77777777" w:rsidTr="00976B6E">
        <w:trPr>
          <w:trHeight w:val="300"/>
        </w:trPr>
        <w:tc>
          <w:tcPr>
            <w:tcW w:w="3120" w:type="dxa"/>
            <w:tcBorders>
              <w:top w:val="nil"/>
              <w:left w:val="nil"/>
              <w:bottom w:val="nil"/>
              <w:right w:val="nil"/>
            </w:tcBorders>
            <w:shd w:val="clear" w:color="000000" w:fill="FFFFFF"/>
            <w:noWrap/>
            <w:vAlign w:val="bottom"/>
            <w:hideMark/>
          </w:tcPr>
          <w:p w14:paraId="153A8FB3" w14:textId="77777777" w:rsidR="003519E3" w:rsidRPr="0064709B" w:rsidRDefault="003519E3" w:rsidP="006679D7">
            <w:pPr>
              <w:spacing w:after="0" w:line="240" w:lineRule="auto"/>
              <w:rPr>
                <w:i/>
                <w:iCs/>
                <w:color w:val="000000"/>
                <w:lang w:eastAsia="en-IE"/>
              </w:rPr>
            </w:pPr>
            <w:r w:rsidRPr="0064709B">
              <w:rPr>
                <w:i/>
                <w:iCs/>
                <w:color w:val="000000"/>
                <w:lang w:eastAsia="en-IE"/>
              </w:rPr>
              <w:t>Lactobacillus reuteri</w:t>
            </w:r>
          </w:p>
        </w:tc>
        <w:tc>
          <w:tcPr>
            <w:tcW w:w="1744" w:type="dxa"/>
            <w:tcBorders>
              <w:top w:val="nil"/>
              <w:left w:val="nil"/>
              <w:bottom w:val="nil"/>
              <w:right w:val="nil"/>
            </w:tcBorders>
            <w:shd w:val="clear" w:color="000000" w:fill="FFFFFF"/>
            <w:noWrap/>
            <w:vAlign w:val="bottom"/>
            <w:hideMark/>
          </w:tcPr>
          <w:p w14:paraId="02A7790F" w14:textId="77777777" w:rsidR="003519E3" w:rsidRPr="0064709B" w:rsidRDefault="003519E3" w:rsidP="006679D7">
            <w:pPr>
              <w:spacing w:after="0" w:line="240" w:lineRule="auto"/>
              <w:rPr>
                <w:color w:val="000000"/>
                <w:lang w:eastAsia="en-IE"/>
              </w:rPr>
            </w:pPr>
            <w:r w:rsidRPr="0064709B">
              <w:rPr>
                <w:color w:val="000000"/>
                <w:lang w:eastAsia="en-IE"/>
              </w:rPr>
              <w:t>GCF_000010005</w:t>
            </w:r>
          </w:p>
        </w:tc>
        <w:tc>
          <w:tcPr>
            <w:tcW w:w="1363" w:type="dxa"/>
            <w:tcBorders>
              <w:top w:val="nil"/>
              <w:left w:val="nil"/>
              <w:bottom w:val="nil"/>
              <w:right w:val="nil"/>
            </w:tcBorders>
            <w:shd w:val="clear" w:color="000000" w:fill="FFFFFF"/>
            <w:noWrap/>
            <w:vAlign w:val="bottom"/>
            <w:hideMark/>
          </w:tcPr>
          <w:p w14:paraId="6DDBDC4F" w14:textId="77777777" w:rsidR="003519E3" w:rsidRPr="0064709B" w:rsidRDefault="003519E3" w:rsidP="006679D7">
            <w:pPr>
              <w:spacing w:after="0" w:line="240" w:lineRule="auto"/>
              <w:rPr>
                <w:color w:val="000000"/>
                <w:lang w:eastAsia="en-IE"/>
              </w:rPr>
            </w:pPr>
            <w:r w:rsidRPr="0064709B">
              <w:rPr>
                <w:color w:val="000000"/>
                <w:lang w:eastAsia="en-IE"/>
              </w:rPr>
              <w:t>JCM 1112</w:t>
            </w:r>
          </w:p>
        </w:tc>
      </w:tr>
      <w:tr w:rsidR="003519E3" w:rsidRPr="0064709B" w14:paraId="7EF3632A" w14:textId="77777777" w:rsidTr="00976B6E">
        <w:trPr>
          <w:trHeight w:val="300"/>
        </w:trPr>
        <w:tc>
          <w:tcPr>
            <w:tcW w:w="3120" w:type="dxa"/>
            <w:tcBorders>
              <w:top w:val="nil"/>
              <w:left w:val="nil"/>
              <w:bottom w:val="nil"/>
              <w:right w:val="nil"/>
            </w:tcBorders>
            <w:shd w:val="clear" w:color="000000" w:fill="FFFFFF"/>
            <w:noWrap/>
            <w:vAlign w:val="bottom"/>
            <w:hideMark/>
          </w:tcPr>
          <w:p w14:paraId="57E898E8" w14:textId="77777777" w:rsidR="003519E3" w:rsidRPr="0064709B" w:rsidRDefault="003519E3" w:rsidP="006679D7">
            <w:pPr>
              <w:spacing w:after="0" w:line="240" w:lineRule="auto"/>
              <w:rPr>
                <w:i/>
                <w:iCs/>
                <w:color w:val="000000"/>
                <w:lang w:eastAsia="en-IE"/>
              </w:rPr>
            </w:pPr>
            <w:r w:rsidRPr="0064709B">
              <w:rPr>
                <w:i/>
                <w:iCs/>
                <w:color w:val="000000"/>
                <w:lang w:eastAsia="en-IE"/>
              </w:rPr>
              <w:t>Lactobacillus reuteri</w:t>
            </w:r>
          </w:p>
        </w:tc>
        <w:tc>
          <w:tcPr>
            <w:tcW w:w="1744" w:type="dxa"/>
            <w:tcBorders>
              <w:top w:val="nil"/>
              <w:left w:val="nil"/>
              <w:bottom w:val="nil"/>
              <w:right w:val="nil"/>
            </w:tcBorders>
            <w:shd w:val="clear" w:color="000000" w:fill="FFFFFF"/>
            <w:noWrap/>
            <w:vAlign w:val="bottom"/>
            <w:hideMark/>
          </w:tcPr>
          <w:p w14:paraId="113ED41A" w14:textId="77777777" w:rsidR="003519E3" w:rsidRPr="0064709B" w:rsidRDefault="003519E3" w:rsidP="006679D7">
            <w:pPr>
              <w:spacing w:after="0" w:line="240" w:lineRule="auto"/>
              <w:rPr>
                <w:color w:val="000000"/>
                <w:lang w:eastAsia="en-IE"/>
              </w:rPr>
            </w:pPr>
            <w:r w:rsidRPr="0064709B">
              <w:rPr>
                <w:color w:val="000000"/>
                <w:lang w:eastAsia="en-IE"/>
              </w:rPr>
              <w:t>GCF_000016825</w:t>
            </w:r>
          </w:p>
        </w:tc>
        <w:tc>
          <w:tcPr>
            <w:tcW w:w="1363" w:type="dxa"/>
            <w:tcBorders>
              <w:top w:val="nil"/>
              <w:left w:val="nil"/>
              <w:bottom w:val="nil"/>
              <w:right w:val="nil"/>
            </w:tcBorders>
            <w:shd w:val="clear" w:color="000000" w:fill="FFFFFF"/>
            <w:noWrap/>
            <w:vAlign w:val="bottom"/>
            <w:hideMark/>
          </w:tcPr>
          <w:p w14:paraId="325B986D" w14:textId="77777777" w:rsidR="003519E3" w:rsidRPr="0064709B" w:rsidRDefault="003519E3" w:rsidP="006679D7">
            <w:pPr>
              <w:spacing w:after="0" w:line="240" w:lineRule="auto"/>
              <w:rPr>
                <w:color w:val="000000"/>
                <w:lang w:eastAsia="en-IE"/>
              </w:rPr>
            </w:pPr>
            <w:r w:rsidRPr="0064709B">
              <w:rPr>
                <w:color w:val="000000"/>
                <w:lang w:eastAsia="en-IE"/>
              </w:rPr>
              <w:t>DSM 20016</w:t>
            </w:r>
          </w:p>
        </w:tc>
      </w:tr>
      <w:tr w:rsidR="003519E3" w:rsidRPr="0064709B" w14:paraId="4E2046FE" w14:textId="77777777" w:rsidTr="00976B6E">
        <w:trPr>
          <w:trHeight w:val="300"/>
        </w:trPr>
        <w:tc>
          <w:tcPr>
            <w:tcW w:w="3120" w:type="dxa"/>
            <w:tcBorders>
              <w:top w:val="nil"/>
              <w:left w:val="nil"/>
              <w:bottom w:val="nil"/>
              <w:right w:val="nil"/>
            </w:tcBorders>
            <w:shd w:val="clear" w:color="000000" w:fill="FFFFFF"/>
            <w:noWrap/>
            <w:vAlign w:val="bottom"/>
            <w:hideMark/>
          </w:tcPr>
          <w:p w14:paraId="5A302CBB" w14:textId="77777777" w:rsidR="003519E3" w:rsidRPr="0064709B" w:rsidRDefault="003519E3" w:rsidP="006679D7">
            <w:pPr>
              <w:spacing w:after="0" w:line="240" w:lineRule="auto"/>
              <w:rPr>
                <w:i/>
                <w:iCs/>
                <w:color w:val="000000"/>
                <w:lang w:eastAsia="en-IE"/>
              </w:rPr>
            </w:pPr>
            <w:r w:rsidRPr="0064709B">
              <w:rPr>
                <w:i/>
                <w:iCs/>
                <w:color w:val="000000"/>
                <w:lang w:eastAsia="en-IE"/>
              </w:rPr>
              <w:t>Lactobacillus reuteri</w:t>
            </w:r>
          </w:p>
        </w:tc>
        <w:tc>
          <w:tcPr>
            <w:tcW w:w="1744" w:type="dxa"/>
            <w:tcBorders>
              <w:top w:val="nil"/>
              <w:left w:val="nil"/>
              <w:bottom w:val="nil"/>
              <w:right w:val="nil"/>
            </w:tcBorders>
            <w:shd w:val="clear" w:color="000000" w:fill="FFFFFF"/>
            <w:noWrap/>
            <w:vAlign w:val="bottom"/>
            <w:hideMark/>
          </w:tcPr>
          <w:p w14:paraId="0530E01F" w14:textId="77777777" w:rsidR="003519E3" w:rsidRPr="0064709B" w:rsidRDefault="003519E3" w:rsidP="006679D7">
            <w:pPr>
              <w:spacing w:after="0" w:line="240" w:lineRule="auto"/>
              <w:rPr>
                <w:color w:val="000000"/>
                <w:lang w:eastAsia="en-IE"/>
              </w:rPr>
            </w:pPr>
            <w:r w:rsidRPr="0064709B">
              <w:rPr>
                <w:color w:val="000000"/>
                <w:lang w:eastAsia="en-IE"/>
              </w:rPr>
              <w:t>GCF_000159455</w:t>
            </w:r>
          </w:p>
        </w:tc>
        <w:tc>
          <w:tcPr>
            <w:tcW w:w="1363" w:type="dxa"/>
            <w:tcBorders>
              <w:top w:val="nil"/>
              <w:left w:val="nil"/>
              <w:bottom w:val="nil"/>
              <w:right w:val="nil"/>
            </w:tcBorders>
            <w:shd w:val="clear" w:color="000000" w:fill="FFFFFF"/>
            <w:noWrap/>
            <w:vAlign w:val="bottom"/>
            <w:hideMark/>
          </w:tcPr>
          <w:p w14:paraId="3F12C51A" w14:textId="77777777" w:rsidR="003519E3" w:rsidRPr="0064709B" w:rsidRDefault="003519E3" w:rsidP="006679D7">
            <w:pPr>
              <w:spacing w:after="0" w:line="240" w:lineRule="auto"/>
              <w:rPr>
                <w:color w:val="000000"/>
                <w:lang w:eastAsia="en-IE"/>
              </w:rPr>
            </w:pPr>
            <w:r w:rsidRPr="0064709B">
              <w:rPr>
                <w:color w:val="000000"/>
                <w:lang w:eastAsia="en-IE"/>
              </w:rPr>
              <w:t>SD2112</w:t>
            </w:r>
          </w:p>
        </w:tc>
      </w:tr>
      <w:tr w:rsidR="003519E3" w:rsidRPr="0064709B" w14:paraId="38BAE78A" w14:textId="77777777" w:rsidTr="00976B6E">
        <w:trPr>
          <w:trHeight w:val="300"/>
        </w:trPr>
        <w:tc>
          <w:tcPr>
            <w:tcW w:w="3120" w:type="dxa"/>
            <w:tcBorders>
              <w:top w:val="nil"/>
              <w:left w:val="nil"/>
              <w:bottom w:val="nil"/>
              <w:right w:val="nil"/>
            </w:tcBorders>
            <w:shd w:val="clear" w:color="000000" w:fill="FFFFFF"/>
            <w:noWrap/>
            <w:vAlign w:val="bottom"/>
            <w:hideMark/>
          </w:tcPr>
          <w:p w14:paraId="4750623A" w14:textId="77777777" w:rsidR="003519E3" w:rsidRPr="0064709B" w:rsidRDefault="003519E3" w:rsidP="006679D7">
            <w:pPr>
              <w:spacing w:after="0" w:line="240" w:lineRule="auto"/>
              <w:rPr>
                <w:i/>
                <w:iCs/>
                <w:color w:val="000000"/>
                <w:lang w:eastAsia="en-IE"/>
              </w:rPr>
            </w:pPr>
            <w:r w:rsidRPr="0064709B">
              <w:rPr>
                <w:i/>
                <w:iCs/>
                <w:color w:val="000000"/>
                <w:lang w:eastAsia="en-IE"/>
              </w:rPr>
              <w:t>Lactobacillus reuteri</w:t>
            </w:r>
          </w:p>
        </w:tc>
        <w:tc>
          <w:tcPr>
            <w:tcW w:w="1744" w:type="dxa"/>
            <w:tcBorders>
              <w:top w:val="nil"/>
              <w:left w:val="nil"/>
              <w:bottom w:val="nil"/>
              <w:right w:val="nil"/>
            </w:tcBorders>
            <w:shd w:val="clear" w:color="000000" w:fill="FFFFFF"/>
            <w:noWrap/>
            <w:vAlign w:val="bottom"/>
            <w:hideMark/>
          </w:tcPr>
          <w:p w14:paraId="71D530BF" w14:textId="77777777" w:rsidR="003519E3" w:rsidRPr="0064709B" w:rsidRDefault="003519E3" w:rsidP="006679D7">
            <w:pPr>
              <w:spacing w:after="0" w:line="240" w:lineRule="auto"/>
              <w:rPr>
                <w:color w:val="000000"/>
                <w:lang w:eastAsia="en-IE"/>
              </w:rPr>
            </w:pPr>
            <w:r w:rsidRPr="0064709B">
              <w:rPr>
                <w:color w:val="000000"/>
                <w:lang w:eastAsia="en-IE"/>
              </w:rPr>
              <w:t>GCF_000236455</w:t>
            </w:r>
          </w:p>
        </w:tc>
        <w:tc>
          <w:tcPr>
            <w:tcW w:w="1363" w:type="dxa"/>
            <w:tcBorders>
              <w:top w:val="nil"/>
              <w:left w:val="nil"/>
              <w:bottom w:val="nil"/>
              <w:right w:val="nil"/>
            </w:tcBorders>
            <w:shd w:val="clear" w:color="000000" w:fill="FFFFFF"/>
            <w:noWrap/>
            <w:vAlign w:val="bottom"/>
            <w:hideMark/>
          </w:tcPr>
          <w:p w14:paraId="1ABBFBE3" w14:textId="77777777" w:rsidR="003519E3" w:rsidRPr="0064709B" w:rsidRDefault="003519E3" w:rsidP="006679D7">
            <w:pPr>
              <w:spacing w:after="0" w:line="240" w:lineRule="auto"/>
              <w:rPr>
                <w:color w:val="000000"/>
                <w:lang w:eastAsia="en-IE"/>
              </w:rPr>
            </w:pPr>
            <w:r w:rsidRPr="0064709B">
              <w:rPr>
                <w:color w:val="000000"/>
                <w:lang w:eastAsia="en-IE"/>
              </w:rPr>
              <w:t>ATCC 53608</w:t>
            </w:r>
          </w:p>
        </w:tc>
      </w:tr>
      <w:tr w:rsidR="003519E3" w:rsidRPr="0064709B" w14:paraId="477F6B46" w14:textId="77777777" w:rsidTr="00976B6E">
        <w:trPr>
          <w:trHeight w:val="300"/>
        </w:trPr>
        <w:tc>
          <w:tcPr>
            <w:tcW w:w="3120" w:type="dxa"/>
            <w:tcBorders>
              <w:top w:val="nil"/>
              <w:left w:val="nil"/>
              <w:bottom w:val="nil"/>
              <w:right w:val="nil"/>
            </w:tcBorders>
            <w:shd w:val="clear" w:color="000000" w:fill="FFFFFF"/>
            <w:noWrap/>
            <w:vAlign w:val="bottom"/>
            <w:hideMark/>
          </w:tcPr>
          <w:p w14:paraId="75517C2F" w14:textId="77777777" w:rsidR="003519E3" w:rsidRPr="0064709B" w:rsidRDefault="003519E3" w:rsidP="006679D7">
            <w:pPr>
              <w:spacing w:after="0" w:line="240" w:lineRule="auto"/>
              <w:rPr>
                <w:i/>
                <w:iCs/>
                <w:color w:val="000000"/>
                <w:lang w:eastAsia="en-IE"/>
              </w:rPr>
            </w:pPr>
            <w:r w:rsidRPr="0064709B">
              <w:rPr>
                <w:i/>
                <w:iCs/>
                <w:color w:val="000000"/>
                <w:lang w:eastAsia="en-IE"/>
              </w:rPr>
              <w:t>Lactobacillus reuteri</w:t>
            </w:r>
          </w:p>
        </w:tc>
        <w:tc>
          <w:tcPr>
            <w:tcW w:w="1744" w:type="dxa"/>
            <w:tcBorders>
              <w:top w:val="nil"/>
              <w:left w:val="nil"/>
              <w:bottom w:val="nil"/>
              <w:right w:val="nil"/>
            </w:tcBorders>
            <w:shd w:val="clear" w:color="000000" w:fill="FFFFFF"/>
            <w:noWrap/>
            <w:vAlign w:val="bottom"/>
            <w:hideMark/>
          </w:tcPr>
          <w:p w14:paraId="52161C39" w14:textId="77777777" w:rsidR="003519E3" w:rsidRPr="0064709B" w:rsidRDefault="003519E3" w:rsidP="006679D7">
            <w:pPr>
              <w:spacing w:after="0" w:line="240" w:lineRule="auto"/>
              <w:rPr>
                <w:color w:val="000000"/>
                <w:lang w:eastAsia="en-IE"/>
              </w:rPr>
            </w:pPr>
            <w:r w:rsidRPr="0064709B">
              <w:rPr>
                <w:color w:val="000000"/>
                <w:lang w:eastAsia="en-IE"/>
              </w:rPr>
              <w:t>GCF_000410995</w:t>
            </w:r>
          </w:p>
        </w:tc>
        <w:tc>
          <w:tcPr>
            <w:tcW w:w="1363" w:type="dxa"/>
            <w:tcBorders>
              <w:top w:val="nil"/>
              <w:left w:val="nil"/>
              <w:bottom w:val="nil"/>
              <w:right w:val="nil"/>
            </w:tcBorders>
            <w:shd w:val="clear" w:color="000000" w:fill="FFFFFF"/>
            <w:noWrap/>
            <w:vAlign w:val="bottom"/>
            <w:hideMark/>
          </w:tcPr>
          <w:p w14:paraId="35458801" w14:textId="77777777" w:rsidR="003519E3" w:rsidRPr="0064709B" w:rsidRDefault="003519E3" w:rsidP="006679D7">
            <w:pPr>
              <w:spacing w:after="0" w:line="240" w:lineRule="auto"/>
              <w:rPr>
                <w:color w:val="000000"/>
                <w:lang w:eastAsia="en-IE"/>
              </w:rPr>
            </w:pPr>
            <w:r w:rsidRPr="0064709B">
              <w:rPr>
                <w:color w:val="000000"/>
                <w:lang w:eastAsia="en-IE"/>
              </w:rPr>
              <w:t>I5007</w:t>
            </w:r>
          </w:p>
        </w:tc>
      </w:tr>
      <w:tr w:rsidR="003519E3" w:rsidRPr="0064709B" w14:paraId="528D8B18" w14:textId="77777777" w:rsidTr="00976B6E">
        <w:trPr>
          <w:trHeight w:val="300"/>
        </w:trPr>
        <w:tc>
          <w:tcPr>
            <w:tcW w:w="3120" w:type="dxa"/>
            <w:tcBorders>
              <w:top w:val="nil"/>
              <w:left w:val="nil"/>
              <w:bottom w:val="nil"/>
              <w:right w:val="nil"/>
            </w:tcBorders>
            <w:shd w:val="clear" w:color="000000" w:fill="FFFFFF"/>
            <w:noWrap/>
            <w:vAlign w:val="bottom"/>
            <w:hideMark/>
          </w:tcPr>
          <w:p w14:paraId="7E433F42" w14:textId="77777777" w:rsidR="003519E3" w:rsidRPr="0064709B" w:rsidRDefault="003519E3" w:rsidP="006679D7">
            <w:pPr>
              <w:spacing w:after="0" w:line="240" w:lineRule="auto"/>
              <w:rPr>
                <w:i/>
                <w:iCs/>
                <w:color w:val="000000"/>
                <w:lang w:eastAsia="en-IE"/>
              </w:rPr>
            </w:pPr>
            <w:r w:rsidRPr="0064709B">
              <w:rPr>
                <w:i/>
                <w:iCs/>
                <w:color w:val="000000"/>
                <w:lang w:eastAsia="en-IE"/>
              </w:rPr>
              <w:t>Lactobacillus reuteri</w:t>
            </w:r>
          </w:p>
        </w:tc>
        <w:tc>
          <w:tcPr>
            <w:tcW w:w="1744" w:type="dxa"/>
            <w:tcBorders>
              <w:top w:val="nil"/>
              <w:left w:val="nil"/>
              <w:bottom w:val="nil"/>
              <w:right w:val="nil"/>
            </w:tcBorders>
            <w:shd w:val="clear" w:color="000000" w:fill="FFFFFF"/>
            <w:noWrap/>
            <w:vAlign w:val="bottom"/>
            <w:hideMark/>
          </w:tcPr>
          <w:p w14:paraId="74DEB737" w14:textId="77777777" w:rsidR="003519E3" w:rsidRPr="0064709B" w:rsidRDefault="003519E3" w:rsidP="006679D7">
            <w:pPr>
              <w:spacing w:after="0" w:line="240" w:lineRule="auto"/>
              <w:rPr>
                <w:color w:val="000000"/>
                <w:lang w:eastAsia="en-IE"/>
              </w:rPr>
            </w:pPr>
            <w:r w:rsidRPr="0064709B">
              <w:rPr>
                <w:color w:val="000000"/>
                <w:lang w:eastAsia="en-IE"/>
              </w:rPr>
              <w:t>GCF_000439275</w:t>
            </w:r>
          </w:p>
        </w:tc>
        <w:tc>
          <w:tcPr>
            <w:tcW w:w="1363" w:type="dxa"/>
            <w:tcBorders>
              <w:top w:val="nil"/>
              <w:left w:val="nil"/>
              <w:bottom w:val="nil"/>
              <w:right w:val="nil"/>
            </w:tcBorders>
            <w:shd w:val="clear" w:color="000000" w:fill="FFFFFF"/>
            <w:noWrap/>
            <w:vAlign w:val="bottom"/>
            <w:hideMark/>
          </w:tcPr>
          <w:p w14:paraId="1F27BD15" w14:textId="77777777" w:rsidR="003519E3" w:rsidRPr="0064709B" w:rsidRDefault="003519E3" w:rsidP="006679D7">
            <w:pPr>
              <w:spacing w:after="0" w:line="240" w:lineRule="auto"/>
              <w:rPr>
                <w:color w:val="000000"/>
                <w:lang w:eastAsia="en-IE"/>
              </w:rPr>
            </w:pPr>
            <w:r w:rsidRPr="0064709B">
              <w:rPr>
                <w:color w:val="000000"/>
                <w:lang w:eastAsia="en-IE"/>
              </w:rPr>
              <w:t>TD1</w:t>
            </w:r>
          </w:p>
        </w:tc>
      </w:tr>
      <w:tr w:rsidR="003519E3" w:rsidRPr="0064709B" w14:paraId="69795805" w14:textId="77777777" w:rsidTr="00976B6E">
        <w:trPr>
          <w:trHeight w:val="300"/>
        </w:trPr>
        <w:tc>
          <w:tcPr>
            <w:tcW w:w="3120" w:type="dxa"/>
            <w:tcBorders>
              <w:top w:val="nil"/>
              <w:left w:val="nil"/>
              <w:bottom w:val="nil"/>
              <w:right w:val="nil"/>
            </w:tcBorders>
            <w:shd w:val="clear" w:color="000000" w:fill="FFFFFF"/>
            <w:noWrap/>
            <w:vAlign w:val="bottom"/>
            <w:hideMark/>
          </w:tcPr>
          <w:p w14:paraId="1B1E07F7" w14:textId="77777777" w:rsidR="003519E3" w:rsidRPr="0064709B" w:rsidRDefault="003519E3" w:rsidP="006679D7">
            <w:pPr>
              <w:spacing w:after="0" w:line="240" w:lineRule="auto"/>
              <w:rPr>
                <w:i/>
                <w:iCs/>
                <w:color w:val="000000"/>
                <w:lang w:eastAsia="en-IE"/>
              </w:rPr>
            </w:pPr>
            <w:r w:rsidRPr="0064709B">
              <w:rPr>
                <w:i/>
                <w:iCs/>
                <w:color w:val="000000"/>
                <w:lang w:eastAsia="en-IE"/>
              </w:rPr>
              <w:t>Lactobacillus reuteri</w:t>
            </w:r>
          </w:p>
        </w:tc>
        <w:tc>
          <w:tcPr>
            <w:tcW w:w="1744" w:type="dxa"/>
            <w:tcBorders>
              <w:top w:val="nil"/>
              <w:left w:val="nil"/>
              <w:bottom w:val="nil"/>
              <w:right w:val="nil"/>
            </w:tcBorders>
            <w:shd w:val="clear" w:color="000000" w:fill="FFFFFF"/>
            <w:noWrap/>
            <w:vAlign w:val="bottom"/>
            <w:hideMark/>
          </w:tcPr>
          <w:p w14:paraId="6A2445F3" w14:textId="77777777" w:rsidR="003519E3" w:rsidRPr="0064709B" w:rsidRDefault="003519E3" w:rsidP="006679D7">
            <w:pPr>
              <w:spacing w:after="0" w:line="240" w:lineRule="auto"/>
              <w:rPr>
                <w:color w:val="000000"/>
                <w:lang w:eastAsia="en-IE"/>
              </w:rPr>
            </w:pPr>
            <w:r w:rsidRPr="0064709B">
              <w:rPr>
                <w:color w:val="000000"/>
                <w:lang w:eastAsia="en-IE"/>
              </w:rPr>
              <w:t>GCF_001046835</w:t>
            </w:r>
          </w:p>
        </w:tc>
        <w:tc>
          <w:tcPr>
            <w:tcW w:w="1363" w:type="dxa"/>
            <w:tcBorders>
              <w:top w:val="nil"/>
              <w:left w:val="nil"/>
              <w:bottom w:val="nil"/>
              <w:right w:val="nil"/>
            </w:tcBorders>
            <w:shd w:val="clear" w:color="000000" w:fill="FFFFFF"/>
            <w:noWrap/>
            <w:vAlign w:val="bottom"/>
            <w:hideMark/>
          </w:tcPr>
          <w:p w14:paraId="0C9C7677" w14:textId="77777777" w:rsidR="003519E3" w:rsidRPr="0064709B" w:rsidRDefault="003519E3" w:rsidP="006679D7">
            <w:pPr>
              <w:spacing w:after="0" w:line="240" w:lineRule="auto"/>
              <w:rPr>
                <w:color w:val="000000"/>
                <w:lang w:eastAsia="en-IE"/>
              </w:rPr>
            </w:pPr>
            <w:r w:rsidRPr="0064709B">
              <w:rPr>
                <w:color w:val="000000"/>
                <w:lang w:eastAsia="en-IE"/>
              </w:rPr>
              <w:t>IRT</w:t>
            </w:r>
          </w:p>
        </w:tc>
      </w:tr>
      <w:tr w:rsidR="003519E3" w:rsidRPr="0064709B" w14:paraId="2AC1F705" w14:textId="77777777" w:rsidTr="00976B6E">
        <w:trPr>
          <w:trHeight w:val="300"/>
        </w:trPr>
        <w:tc>
          <w:tcPr>
            <w:tcW w:w="3120" w:type="dxa"/>
            <w:tcBorders>
              <w:top w:val="nil"/>
              <w:left w:val="nil"/>
              <w:bottom w:val="nil"/>
              <w:right w:val="nil"/>
            </w:tcBorders>
            <w:shd w:val="clear" w:color="000000" w:fill="FFFFFF"/>
            <w:noWrap/>
            <w:vAlign w:val="bottom"/>
            <w:hideMark/>
          </w:tcPr>
          <w:p w14:paraId="6F3298C5" w14:textId="77777777" w:rsidR="003519E3" w:rsidRPr="0064709B" w:rsidRDefault="003519E3" w:rsidP="006679D7">
            <w:pPr>
              <w:spacing w:after="0" w:line="240" w:lineRule="auto"/>
              <w:rPr>
                <w:i/>
                <w:iCs/>
                <w:color w:val="000000"/>
                <w:lang w:eastAsia="en-IE"/>
              </w:rPr>
            </w:pPr>
            <w:r w:rsidRPr="0064709B">
              <w:rPr>
                <w:i/>
                <w:iCs/>
                <w:color w:val="000000"/>
                <w:lang w:eastAsia="en-IE"/>
              </w:rPr>
              <w:t>Lactobacillus reuteri</w:t>
            </w:r>
          </w:p>
        </w:tc>
        <w:tc>
          <w:tcPr>
            <w:tcW w:w="1744" w:type="dxa"/>
            <w:tcBorders>
              <w:top w:val="nil"/>
              <w:left w:val="nil"/>
              <w:bottom w:val="nil"/>
              <w:right w:val="nil"/>
            </w:tcBorders>
            <w:shd w:val="clear" w:color="000000" w:fill="FFFFFF"/>
            <w:noWrap/>
            <w:vAlign w:val="bottom"/>
            <w:hideMark/>
          </w:tcPr>
          <w:p w14:paraId="031BBF6C" w14:textId="77777777" w:rsidR="003519E3" w:rsidRPr="0064709B" w:rsidRDefault="003519E3" w:rsidP="006679D7">
            <w:pPr>
              <w:spacing w:after="0" w:line="240" w:lineRule="auto"/>
              <w:rPr>
                <w:color w:val="000000"/>
                <w:lang w:eastAsia="en-IE"/>
              </w:rPr>
            </w:pPr>
            <w:r w:rsidRPr="0064709B">
              <w:rPr>
                <w:color w:val="000000"/>
                <w:lang w:eastAsia="en-IE"/>
              </w:rPr>
              <w:t>GCF_001618905</w:t>
            </w:r>
          </w:p>
        </w:tc>
        <w:tc>
          <w:tcPr>
            <w:tcW w:w="1363" w:type="dxa"/>
            <w:tcBorders>
              <w:top w:val="nil"/>
              <w:left w:val="nil"/>
              <w:bottom w:val="nil"/>
              <w:right w:val="nil"/>
            </w:tcBorders>
            <w:shd w:val="clear" w:color="000000" w:fill="FFFFFF"/>
            <w:noWrap/>
            <w:vAlign w:val="bottom"/>
            <w:hideMark/>
          </w:tcPr>
          <w:p w14:paraId="5A8B3D77" w14:textId="77777777" w:rsidR="003519E3" w:rsidRPr="0064709B" w:rsidRDefault="003519E3" w:rsidP="006679D7">
            <w:pPr>
              <w:spacing w:after="0" w:line="240" w:lineRule="auto"/>
              <w:rPr>
                <w:color w:val="000000"/>
                <w:lang w:eastAsia="en-IE"/>
              </w:rPr>
            </w:pPr>
            <w:r w:rsidRPr="0064709B">
              <w:rPr>
                <w:color w:val="000000"/>
                <w:lang w:eastAsia="en-IE"/>
              </w:rPr>
              <w:t>ZLR003</w:t>
            </w:r>
          </w:p>
        </w:tc>
      </w:tr>
      <w:tr w:rsidR="003519E3" w:rsidRPr="0064709B" w14:paraId="67C774FB" w14:textId="77777777" w:rsidTr="00976B6E">
        <w:trPr>
          <w:trHeight w:val="300"/>
        </w:trPr>
        <w:tc>
          <w:tcPr>
            <w:tcW w:w="3120" w:type="dxa"/>
            <w:tcBorders>
              <w:top w:val="nil"/>
              <w:left w:val="nil"/>
              <w:bottom w:val="nil"/>
              <w:right w:val="nil"/>
            </w:tcBorders>
            <w:shd w:val="clear" w:color="000000" w:fill="FFFFFF"/>
            <w:noWrap/>
            <w:vAlign w:val="bottom"/>
            <w:hideMark/>
          </w:tcPr>
          <w:p w14:paraId="6E2E3DCD" w14:textId="77777777" w:rsidR="003519E3" w:rsidRPr="0064709B" w:rsidRDefault="003519E3" w:rsidP="006679D7">
            <w:pPr>
              <w:spacing w:after="0" w:line="240" w:lineRule="auto"/>
              <w:rPr>
                <w:i/>
                <w:iCs/>
                <w:color w:val="000000"/>
                <w:lang w:eastAsia="en-IE"/>
              </w:rPr>
            </w:pPr>
            <w:r w:rsidRPr="0064709B">
              <w:rPr>
                <w:i/>
                <w:iCs/>
                <w:color w:val="000000"/>
                <w:lang w:eastAsia="en-IE"/>
              </w:rPr>
              <w:t>Lactobacillus reuteri</w:t>
            </w:r>
          </w:p>
        </w:tc>
        <w:tc>
          <w:tcPr>
            <w:tcW w:w="1744" w:type="dxa"/>
            <w:tcBorders>
              <w:top w:val="nil"/>
              <w:left w:val="nil"/>
              <w:bottom w:val="nil"/>
              <w:right w:val="nil"/>
            </w:tcBorders>
            <w:shd w:val="clear" w:color="000000" w:fill="FFFFFF"/>
            <w:noWrap/>
            <w:vAlign w:val="bottom"/>
            <w:hideMark/>
          </w:tcPr>
          <w:p w14:paraId="7F05CA25" w14:textId="77777777" w:rsidR="003519E3" w:rsidRPr="0064709B" w:rsidRDefault="003519E3" w:rsidP="006679D7">
            <w:pPr>
              <w:spacing w:after="0" w:line="240" w:lineRule="auto"/>
              <w:rPr>
                <w:color w:val="000000"/>
                <w:lang w:eastAsia="en-IE"/>
              </w:rPr>
            </w:pPr>
            <w:r w:rsidRPr="0064709B">
              <w:rPr>
                <w:color w:val="000000"/>
                <w:lang w:eastAsia="en-IE"/>
              </w:rPr>
              <w:t>GCF_001688685</w:t>
            </w:r>
          </w:p>
        </w:tc>
        <w:tc>
          <w:tcPr>
            <w:tcW w:w="1363" w:type="dxa"/>
            <w:tcBorders>
              <w:top w:val="nil"/>
              <w:left w:val="nil"/>
              <w:bottom w:val="nil"/>
              <w:right w:val="nil"/>
            </w:tcBorders>
            <w:shd w:val="clear" w:color="000000" w:fill="FFFFFF"/>
            <w:noWrap/>
            <w:vAlign w:val="bottom"/>
            <w:hideMark/>
          </w:tcPr>
          <w:p w14:paraId="1C28E435" w14:textId="77777777" w:rsidR="003519E3" w:rsidRPr="0064709B" w:rsidRDefault="003519E3" w:rsidP="006679D7">
            <w:pPr>
              <w:spacing w:after="0" w:line="240" w:lineRule="auto"/>
              <w:rPr>
                <w:color w:val="000000"/>
                <w:lang w:eastAsia="en-IE"/>
              </w:rPr>
            </w:pPr>
            <w:r w:rsidRPr="0064709B">
              <w:rPr>
                <w:color w:val="000000"/>
                <w:lang w:eastAsia="en-IE"/>
              </w:rPr>
              <w:t>I49</w:t>
            </w:r>
          </w:p>
        </w:tc>
      </w:tr>
      <w:tr w:rsidR="003519E3" w:rsidRPr="0064709B" w14:paraId="4D370BEA" w14:textId="77777777" w:rsidTr="00976B6E">
        <w:trPr>
          <w:trHeight w:val="300"/>
        </w:trPr>
        <w:tc>
          <w:tcPr>
            <w:tcW w:w="3120" w:type="dxa"/>
            <w:tcBorders>
              <w:top w:val="nil"/>
              <w:left w:val="nil"/>
              <w:bottom w:val="nil"/>
              <w:right w:val="nil"/>
            </w:tcBorders>
            <w:shd w:val="clear" w:color="000000" w:fill="FFFFFF"/>
            <w:noWrap/>
            <w:vAlign w:val="bottom"/>
            <w:hideMark/>
          </w:tcPr>
          <w:p w14:paraId="69DFB612" w14:textId="77777777" w:rsidR="003519E3" w:rsidRPr="0064709B" w:rsidRDefault="003519E3" w:rsidP="006679D7">
            <w:pPr>
              <w:spacing w:after="0" w:line="240" w:lineRule="auto"/>
              <w:rPr>
                <w:i/>
                <w:iCs/>
                <w:color w:val="000000"/>
                <w:lang w:eastAsia="en-IE"/>
              </w:rPr>
            </w:pPr>
            <w:r w:rsidRPr="0064709B">
              <w:rPr>
                <w:i/>
                <w:iCs/>
                <w:color w:val="000000"/>
                <w:lang w:eastAsia="en-IE"/>
              </w:rPr>
              <w:t>Bifidobacterium pseudolongum</w:t>
            </w:r>
          </w:p>
        </w:tc>
        <w:tc>
          <w:tcPr>
            <w:tcW w:w="1744" w:type="dxa"/>
            <w:tcBorders>
              <w:top w:val="nil"/>
              <w:left w:val="nil"/>
              <w:bottom w:val="nil"/>
              <w:right w:val="nil"/>
            </w:tcBorders>
            <w:shd w:val="clear" w:color="000000" w:fill="FFFFFF"/>
            <w:noWrap/>
            <w:vAlign w:val="bottom"/>
            <w:hideMark/>
          </w:tcPr>
          <w:p w14:paraId="4658B82A" w14:textId="77777777" w:rsidR="003519E3" w:rsidRPr="0064709B" w:rsidRDefault="003519E3" w:rsidP="006679D7">
            <w:pPr>
              <w:spacing w:after="0" w:line="240" w:lineRule="auto"/>
              <w:rPr>
                <w:color w:val="000000"/>
                <w:lang w:eastAsia="en-IE"/>
              </w:rPr>
            </w:pPr>
            <w:r w:rsidRPr="0064709B">
              <w:rPr>
                <w:color w:val="000000"/>
                <w:lang w:eastAsia="en-IE"/>
              </w:rPr>
              <w:t>GCF_000800475</w:t>
            </w:r>
          </w:p>
        </w:tc>
        <w:tc>
          <w:tcPr>
            <w:tcW w:w="1363" w:type="dxa"/>
            <w:tcBorders>
              <w:top w:val="nil"/>
              <w:left w:val="nil"/>
              <w:bottom w:val="nil"/>
              <w:right w:val="nil"/>
            </w:tcBorders>
            <w:shd w:val="clear" w:color="000000" w:fill="FFFFFF"/>
            <w:noWrap/>
            <w:vAlign w:val="bottom"/>
            <w:hideMark/>
          </w:tcPr>
          <w:p w14:paraId="549E051D" w14:textId="77777777" w:rsidR="003519E3" w:rsidRPr="0064709B" w:rsidRDefault="003519E3" w:rsidP="006679D7">
            <w:pPr>
              <w:spacing w:after="0" w:line="240" w:lineRule="auto"/>
              <w:rPr>
                <w:color w:val="000000"/>
                <w:lang w:eastAsia="en-IE"/>
              </w:rPr>
            </w:pPr>
            <w:r w:rsidRPr="0064709B">
              <w:rPr>
                <w:color w:val="000000"/>
                <w:lang w:eastAsia="en-IE"/>
              </w:rPr>
              <w:t>PV8-2</w:t>
            </w:r>
          </w:p>
        </w:tc>
      </w:tr>
      <w:tr w:rsidR="003519E3" w:rsidRPr="0064709B" w14:paraId="5C399823" w14:textId="77777777" w:rsidTr="00976B6E">
        <w:trPr>
          <w:trHeight w:val="300"/>
        </w:trPr>
        <w:tc>
          <w:tcPr>
            <w:tcW w:w="3120" w:type="dxa"/>
            <w:tcBorders>
              <w:top w:val="nil"/>
              <w:left w:val="nil"/>
              <w:bottom w:val="nil"/>
              <w:right w:val="nil"/>
            </w:tcBorders>
            <w:shd w:val="clear" w:color="000000" w:fill="FFFFFF"/>
            <w:noWrap/>
            <w:vAlign w:val="bottom"/>
            <w:hideMark/>
          </w:tcPr>
          <w:p w14:paraId="53D0FCCE" w14:textId="77777777" w:rsidR="003519E3" w:rsidRPr="0064709B" w:rsidRDefault="003519E3" w:rsidP="006679D7">
            <w:pPr>
              <w:spacing w:after="0" w:line="240" w:lineRule="auto"/>
              <w:rPr>
                <w:i/>
                <w:iCs/>
                <w:color w:val="000000"/>
                <w:lang w:eastAsia="en-IE"/>
              </w:rPr>
            </w:pPr>
            <w:r w:rsidRPr="0064709B">
              <w:rPr>
                <w:i/>
                <w:iCs/>
                <w:color w:val="000000"/>
                <w:lang w:eastAsia="en-IE"/>
              </w:rPr>
              <w:t>Bifidobacterium pseudolongum</w:t>
            </w:r>
          </w:p>
        </w:tc>
        <w:tc>
          <w:tcPr>
            <w:tcW w:w="1744" w:type="dxa"/>
            <w:tcBorders>
              <w:top w:val="nil"/>
              <w:left w:val="nil"/>
              <w:bottom w:val="nil"/>
              <w:right w:val="nil"/>
            </w:tcBorders>
            <w:shd w:val="clear" w:color="000000" w:fill="FFFFFF"/>
            <w:noWrap/>
            <w:vAlign w:val="bottom"/>
            <w:hideMark/>
          </w:tcPr>
          <w:p w14:paraId="137F3ACA" w14:textId="77777777" w:rsidR="003519E3" w:rsidRPr="0064709B" w:rsidRDefault="003519E3" w:rsidP="006679D7">
            <w:pPr>
              <w:spacing w:after="0" w:line="240" w:lineRule="auto"/>
              <w:rPr>
                <w:color w:val="000000"/>
                <w:lang w:eastAsia="en-IE"/>
              </w:rPr>
            </w:pPr>
            <w:r w:rsidRPr="0064709B">
              <w:rPr>
                <w:color w:val="000000"/>
                <w:lang w:eastAsia="en-IE"/>
              </w:rPr>
              <w:t>GCF_002282915</w:t>
            </w:r>
          </w:p>
        </w:tc>
        <w:tc>
          <w:tcPr>
            <w:tcW w:w="1363" w:type="dxa"/>
            <w:tcBorders>
              <w:top w:val="nil"/>
              <w:left w:val="nil"/>
              <w:bottom w:val="nil"/>
              <w:right w:val="nil"/>
            </w:tcBorders>
            <w:shd w:val="clear" w:color="000000" w:fill="FFFFFF"/>
            <w:noWrap/>
            <w:vAlign w:val="bottom"/>
            <w:hideMark/>
          </w:tcPr>
          <w:p w14:paraId="12FF0398" w14:textId="77777777" w:rsidR="003519E3" w:rsidRPr="0064709B" w:rsidRDefault="003519E3" w:rsidP="006679D7">
            <w:pPr>
              <w:spacing w:after="0" w:line="240" w:lineRule="auto"/>
              <w:rPr>
                <w:color w:val="000000"/>
                <w:lang w:eastAsia="en-IE"/>
              </w:rPr>
            </w:pPr>
            <w:r w:rsidRPr="0064709B">
              <w:rPr>
                <w:color w:val="000000"/>
                <w:lang w:eastAsia="en-IE"/>
              </w:rPr>
              <w:t>UMB-MBP-01</w:t>
            </w:r>
          </w:p>
        </w:tc>
      </w:tr>
      <w:tr w:rsidR="003519E3" w:rsidRPr="0064709B" w14:paraId="0E3B38E8" w14:textId="77777777" w:rsidTr="00976B6E">
        <w:trPr>
          <w:trHeight w:val="300"/>
        </w:trPr>
        <w:tc>
          <w:tcPr>
            <w:tcW w:w="3120" w:type="dxa"/>
            <w:tcBorders>
              <w:top w:val="nil"/>
              <w:left w:val="nil"/>
              <w:bottom w:val="single" w:sz="4" w:space="0" w:color="auto"/>
              <w:right w:val="nil"/>
            </w:tcBorders>
            <w:shd w:val="clear" w:color="000000" w:fill="FFFFFF"/>
            <w:noWrap/>
            <w:vAlign w:val="bottom"/>
            <w:hideMark/>
          </w:tcPr>
          <w:p w14:paraId="288E6037" w14:textId="77777777" w:rsidR="003519E3" w:rsidRPr="0064709B" w:rsidRDefault="003519E3" w:rsidP="006679D7">
            <w:pPr>
              <w:spacing w:after="0" w:line="240" w:lineRule="auto"/>
              <w:rPr>
                <w:i/>
                <w:iCs/>
                <w:color w:val="000000"/>
                <w:lang w:eastAsia="en-IE"/>
              </w:rPr>
            </w:pPr>
            <w:r w:rsidRPr="0064709B">
              <w:rPr>
                <w:i/>
                <w:iCs/>
                <w:color w:val="000000"/>
                <w:lang w:eastAsia="en-IE"/>
              </w:rPr>
              <w:t>Bifidobacterium pseudolongum</w:t>
            </w:r>
          </w:p>
        </w:tc>
        <w:tc>
          <w:tcPr>
            <w:tcW w:w="1744" w:type="dxa"/>
            <w:tcBorders>
              <w:top w:val="nil"/>
              <w:left w:val="nil"/>
              <w:bottom w:val="single" w:sz="4" w:space="0" w:color="auto"/>
              <w:right w:val="nil"/>
            </w:tcBorders>
            <w:shd w:val="clear" w:color="000000" w:fill="FFFFFF"/>
            <w:noWrap/>
            <w:vAlign w:val="bottom"/>
            <w:hideMark/>
          </w:tcPr>
          <w:p w14:paraId="790DEE3A" w14:textId="77777777" w:rsidR="003519E3" w:rsidRPr="0064709B" w:rsidRDefault="003519E3" w:rsidP="006679D7">
            <w:pPr>
              <w:spacing w:after="0" w:line="240" w:lineRule="auto"/>
              <w:rPr>
                <w:color w:val="000000"/>
                <w:lang w:eastAsia="en-IE"/>
              </w:rPr>
            </w:pPr>
            <w:r w:rsidRPr="0064709B">
              <w:rPr>
                <w:color w:val="000000"/>
                <w:lang w:eastAsia="en-IE"/>
              </w:rPr>
              <w:t>GCF_002706665</w:t>
            </w:r>
          </w:p>
        </w:tc>
        <w:tc>
          <w:tcPr>
            <w:tcW w:w="1363" w:type="dxa"/>
            <w:tcBorders>
              <w:top w:val="nil"/>
              <w:left w:val="nil"/>
              <w:bottom w:val="single" w:sz="4" w:space="0" w:color="auto"/>
              <w:right w:val="nil"/>
            </w:tcBorders>
            <w:shd w:val="clear" w:color="000000" w:fill="FFFFFF"/>
            <w:noWrap/>
            <w:vAlign w:val="bottom"/>
            <w:hideMark/>
          </w:tcPr>
          <w:p w14:paraId="26791584" w14:textId="77777777" w:rsidR="003519E3" w:rsidRPr="0064709B" w:rsidRDefault="003519E3" w:rsidP="006679D7">
            <w:pPr>
              <w:spacing w:after="0" w:line="240" w:lineRule="auto"/>
              <w:rPr>
                <w:color w:val="000000"/>
                <w:lang w:eastAsia="en-IE"/>
              </w:rPr>
            </w:pPr>
            <w:r w:rsidRPr="0064709B">
              <w:rPr>
                <w:color w:val="000000"/>
                <w:lang w:eastAsia="en-IE"/>
              </w:rPr>
              <w:t>DSM 20092</w:t>
            </w:r>
          </w:p>
        </w:tc>
      </w:tr>
    </w:tbl>
    <w:p w14:paraId="590CCF59" w14:textId="02D9E2F4" w:rsidR="003519E3" w:rsidRDefault="003519E3" w:rsidP="006679D7"/>
    <w:p w14:paraId="6F049644" w14:textId="77777777" w:rsidR="003519E3" w:rsidRDefault="003519E3" w:rsidP="006679D7">
      <w:pPr>
        <w:sectPr w:rsidR="003519E3" w:rsidSect="00F61C0F">
          <w:pgSz w:w="11906" w:h="16838"/>
          <w:pgMar w:top="1440" w:right="1440" w:bottom="1440" w:left="1440" w:header="708" w:footer="708" w:gutter="0"/>
          <w:lnNumType w:countBy="1" w:restart="continuous"/>
          <w:cols w:space="708"/>
          <w:docGrid w:linePitch="360"/>
        </w:sectPr>
      </w:pPr>
    </w:p>
    <w:p w14:paraId="7BE4648F" w14:textId="1E05932F" w:rsidR="003519E3" w:rsidRDefault="003519E3" w:rsidP="006679D7"/>
    <w:p w14:paraId="019565C7" w14:textId="5A69F645" w:rsidR="003519E3" w:rsidRPr="001B1C94" w:rsidRDefault="003519E3" w:rsidP="006679D7">
      <w:pPr>
        <w:rPr>
          <w:b/>
        </w:rPr>
      </w:pPr>
      <w:r w:rsidRPr="001B1C94">
        <w:rPr>
          <w:b/>
          <w:lang w:val="en-US"/>
        </w:rPr>
        <w:t>Table S2: Enzyme Commission (EC) level 4 categories which were differentially abundant between kefir versus Milk-fed mice, as determined by LEfSe.</w:t>
      </w:r>
    </w:p>
    <w:p w14:paraId="6452AC27" w14:textId="6A67F018" w:rsidR="001B1C94" w:rsidRDefault="003519E3" w:rsidP="006679D7">
      <w:r w:rsidRPr="0064709B">
        <w:rPr>
          <w:noProof/>
        </w:rPr>
        <w:drawing>
          <wp:inline distT="0" distB="0" distL="0" distR="0" wp14:anchorId="03CD2D38" wp14:editId="0DF4AEB6">
            <wp:extent cx="8863330" cy="322008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10800000" flipH="1" flipV="1">
                      <a:off x="0" y="0"/>
                      <a:ext cx="8863330" cy="3220085"/>
                    </a:xfrm>
                    <a:prstGeom prst="rect">
                      <a:avLst/>
                    </a:prstGeom>
                    <a:noFill/>
                    <a:ln>
                      <a:noFill/>
                    </a:ln>
                  </pic:spPr>
                </pic:pic>
              </a:graphicData>
            </a:graphic>
          </wp:inline>
        </w:drawing>
      </w:r>
      <w:r w:rsidR="001B1C94">
        <w:br w:type="page"/>
      </w:r>
    </w:p>
    <w:p w14:paraId="0D4306D1" w14:textId="3282BE22" w:rsidR="001B1C94" w:rsidRDefault="001B1C94" w:rsidP="006679D7">
      <w:r w:rsidRPr="00AA7CBF">
        <w:rPr>
          <w:noProof/>
          <w:lang w:eastAsia="en-IE"/>
        </w:rPr>
        <w:lastRenderedPageBreak/>
        <mc:AlternateContent>
          <mc:Choice Requires="wps">
            <w:drawing>
              <wp:inline distT="0" distB="0" distL="0" distR="0" wp14:anchorId="2739F1F6" wp14:editId="3DAAA46A">
                <wp:extent cx="8863330" cy="795647"/>
                <wp:effectExtent l="0" t="0" r="0" b="5080"/>
                <wp:docPr id="202"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63330" cy="795647"/>
                        </a:xfrm>
                        <a:prstGeom prst="rect">
                          <a:avLst/>
                        </a:prstGeom>
                        <a:solidFill>
                          <a:srgbClr val="FFFFFF"/>
                        </a:solidFill>
                        <a:ln w="9525">
                          <a:noFill/>
                          <a:miter lim="800000"/>
                          <a:headEnd/>
                          <a:tailEnd/>
                        </a:ln>
                      </wps:spPr>
                      <wps:txbx>
                        <w:txbxContent>
                          <w:p w14:paraId="58E5D0DC" w14:textId="7D962EFA" w:rsidR="00976B6E" w:rsidRPr="00BC1987" w:rsidRDefault="00976B6E" w:rsidP="001B1C94">
                            <w:pPr>
                              <w:pStyle w:val="NoSpacing"/>
                            </w:pPr>
                            <w:r>
                              <w:rPr>
                                <w:b/>
                              </w:rPr>
                              <w:t xml:space="preserve">sTable </w:t>
                            </w:r>
                            <w:r w:rsidR="006679D7">
                              <w:rPr>
                                <w:b/>
                              </w:rPr>
                              <w:t>3</w:t>
                            </w:r>
                            <w:r>
                              <w:rPr>
                                <w:b/>
                              </w:rPr>
                              <w:t>. Faecal metabolomics.</w:t>
                            </w:r>
                            <w:r>
                              <w:t xml:space="preserve"> The faecal metabolome was assessed by </w:t>
                            </w:r>
                            <w:r w:rsidRPr="00F3266B">
                              <w:t>as chromatography–mass spectrometry</w:t>
                            </w:r>
                            <w:r>
                              <w:t xml:space="preserve">. Differences between undisturbed control and milk control were </w:t>
                            </w:r>
                            <w:r w:rsidRPr="00F3266B">
                              <w:t>assessed for statistical significance using an unpaired Student’s t-test</w:t>
                            </w:r>
                            <w:r>
                              <w:t xml:space="preserve">. The effect of kefir compared to milk was </w:t>
                            </w:r>
                            <w:r w:rsidRPr="00F3266B">
                              <w:t>determined by a one-way ANOVA, followed by Dunnett's post hoc test</w:t>
                            </w:r>
                            <w:r>
                              <w:t>. Significant differences are depicted as</w:t>
                            </w:r>
                            <w:r w:rsidRPr="000309AE">
                              <w:t>:</w:t>
                            </w:r>
                            <w:r w:rsidRPr="00F3266B">
                              <w:rPr>
                                <w:vertAlign w:val="superscript"/>
                              </w:rPr>
                              <w:t xml:space="preserve"> </w:t>
                            </w:r>
                            <w:r>
                              <w:rPr>
                                <w:vertAlign w:val="superscript"/>
                              </w:rPr>
                              <w:t>$</w:t>
                            </w:r>
                            <w:r w:rsidRPr="000309AE">
                              <w:rPr>
                                <w:i/>
                                <w:iCs/>
                              </w:rPr>
                              <w:t>p </w:t>
                            </w:r>
                            <w:r w:rsidRPr="000309AE">
                              <w:t>&lt; 0.0</w:t>
                            </w:r>
                            <w:r>
                              <w:t>5</w:t>
                            </w:r>
                            <w:r>
                              <w:rPr>
                                <w:iCs/>
                              </w:rPr>
                              <w:t>; Undisturbed control compared to milk control,</w:t>
                            </w:r>
                            <w:r w:rsidRPr="000309AE">
                              <w:t xml:space="preserve"> *</w:t>
                            </w:r>
                            <w:r w:rsidRPr="000309AE">
                              <w:rPr>
                                <w:i/>
                                <w:iCs/>
                              </w:rPr>
                              <w:t>p </w:t>
                            </w:r>
                            <w:r w:rsidRPr="000309AE">
                              <w:t>&lt; 0.05</w:t>
                            </w:r>
                            <w:r>
                              <w:rPr>
                                <w:iCs/>
                              </w:rPr>
                              <w:t>; Milk control compared to kefir.</w:t>
                            </w:r>
                            <w:r>
                              <w:t xml:space="preserve"> </w:t>
                            </w:r>
                            <w:r w:rsidRPr="0096080D">
                              <w:rPr>
                                <w:noProof/>
                              </w:rPr>
                              <w:t>All data are expressed as mean ± SEM (n</w:t>
                            </w:r>
                            <w:r w:rsidRPr="00D71EC9">
                              <w:t xml:space="preserve"> = </w:t>
                            </w:r>
                            <w:r>
                              <w:t>6</w:t>
                            </w:r>
                            <w:r w:rsidRPr="00D71EC9">
                              <w:t>)</w:t>
                            </w:r>
                            <w:r>
                              <w:t>.</w:t>
                            </w:r>
                          </w:p>
                          <w:p w14:paraId="038A7B77" w14:textId="77777777" w:rsidR="00976B6E" w:rsidRPr="005C5A2A" w:rsidRDefault="00976B6E" w:rsidP="001B1C94"/>
                        </w:txbxContent>
                      </wps:txbx>
                      <wps:bodyPr rot="0" vert="horz" wrap="square" lIns="91440" tIns="45720" rIns="91440" bIns="45720" anchor="t" anchorCtr="0">
                        <a:noAutofit/>
                      </wps:bodyPr>
                    </wps:wsp>
                  </a:graphicData>
                </a:graphic>
              </wp:inline>
            </w:drawing>
          </mc:Choice>
          <mc:Fallback>
            <w:pict>
              <v:shapetype w14:anchorId="2739F1F6" id="_x0000_t202" coordsize="21600,21600" o:spt="202" path="m,l,21600r21600,l21600,xe">
                <v:stroke joinstyle="miter"/>
                <v:path gradientshapeok="t" o:connecttype="rect"/>
              </v:shapetype>
              <v:shape id="Text Box 202" o:spid="_x0000_s1026" type="#_x0000_t202" style="width:697.9pt;height:62.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" stroked="f">
                <v:textbox>
                  <w:txbxContent>
                    <w:p w14:paraId="58E5D0DC" w14:textId="7D962EFA" w:rsidR="00976B6E" w:rsidRPr="00BC1987" w:rsidRDefault="00976B6E" w:rsidP="001B1C94">
                      <w:pPr>
                        <w:pStyle w:val="NoSpacing"/>
                      </w:pPr>
                      <w:r>
                        <w:rPr>
                          <w:b/>
                        </w:rPr>
                        <w:t xml:space="preserve">sTable </w:t>
                      </w:r>
                      <w:r w:rsidR="006679D7">
                        <w:rPr>
                          <w:b/>
                        </w:rPr>
                        <w:t>3</w:t>
                      </w:r>
                      <w:r>
                        <w:rPr>
                          <w:b/>
                        </w:rPr>
                        <w:t>. Faecal metabolomics.</w:t>
                      </w:r>
                      <w:r>
                        <w:t xml:space="preserve"> The faecal metabolome was assessed by </w:t>
                      </w:r>
                      <w:r w:rsidRPr="00F3266B">
                        <w:t>as chromatography–mass spectrometry</w:t>
                      </w:r>
                      <w:r>
                        <w:t xml:space="preserve">. Differences between undisturbed control and milk control were </w:t>
                      </w:r>
                      <w:r w:rsidRPr="00F3266B">
                        <w:t>assessed for statistical significance using an unpaired Student’s t-test</w:t>
                      </w:r>
                      <w:r>
                        <w:t xml:space="preserve">. The effect of kefir compared to milk was </w:t>
                      </w:r>
                      <w:r w:rsidRPr="00F3266B">
                        <w:t>determined by a one-way ANOVA, followed by Dunnett's post hoc test</w:t>
                      </w:r>
                      <w:r>
                        <w:t>. Significant differences are depicted as</w:t>
                      </w:r>
                      <w:r w:rsidRPr="000309AE">
                        <w:t>:</w:t>
                      </w:r>
                      <w:r w:rsidRPr="00F3266B">
                        <w:rPr>
                          <w:vertAlign w:val="superscript"/>
                        </w:rPr>
                        <w:t xml:space="preserve"> </w:t>
                      </w:r>
                      <w:r>
                        <w:rPr>
                          <w:vertAlign w:val="superscript"/>
                        </w:rPr>
                        <w:t>$</w:t>
                      </w:r>
                      <w:r w:rsidRPr="000309AE">
                        <w:rPr>
                          <w:i/>
                          <w:iCs/>
                        </w:rPr>
                        <w:t>p </w:t>
                      </w:r>
                      <w:r w:rsidRPr="000309AE">
                        <w:t>&lt; 0.0</w:t>
                      </w:r>
                      <w:r>
                        <w:t>5</w:t>
                      </w:r>
                      <w:r>
                        <w:rPr>
                          <w:iCs/>
                        </w:rPr>
                        <w:t>; Undisturbed control compared to milk control,</w:t>
                      </w:r>
                      <w:r w:rsidRPr="000309AE">
                        <w:t xml:space="preserve"> *</w:t>
                      </w:r>
                      <w:r w:rsidRPr="000309AE">
                        <w:rPr>
                          <w:i/>
                          <w:iCs/>
                        </w:rPr>
                        <w:t>p </w:t>
                      </w:r>
                      <w:r w:rsidRPr="000309AE">
                        <w:t>&lt; 0.05</w:t>
                      </w:r>
                      <w:r>
                        <w:rPr>
                          <w:iCs/>
                        </w:rPr>
                        <w:t>; Milk control compared to kefir.</w:t>
                      </w:r>
                      <w:r>
                        <w:t xml:space="preserve"> </w:t>
                      </w:r>
                      <w:r w:rsidRPr="0096080D">
                        <w:rPr>
                          <w:noProof/>
                        </w:rPr>
                        <w:t>All data are expressed as mean ± SEM (n</w:t>
                      </w:r>
                      <w:r w:rsidRPr="00D71EC9">
                        <w:t xml:space="preserve"> = </w:t>
                      </w:r>
                      <w:r>
                        <w:t>6</w:t>
                      </w:r>
                      <w:r w:rsidRPr="00D71EC9">
                        <w:t>)</w:t>
                      </w:r>
                      <w:r>
                        <w:t>.</w:t>
                      </w:r>
                    </w:p>
                    <w:p w14:paraId="038A7B77" w14:textId="77777777" w:rsidR="00976B6E" w:rsidRPr="005C5A2A" w:rsidRDefault="00976B6E" w:rsidP="001B1C94"/>
                  </w:txbxContent>
                </v:textbox>
                <w10:anchorlock/>
              </v:shape>
            </w:pict>
          </mc:Fallback>
        </mc:AlternateContent>
      </w:r>
    </w:p>
    <w:tbl>
      <w:tblPr>
        <w:tblW w:w="13892" w:type="dxa"/>
        <w:tblLayout w:type="fixed"/>
        <w:tblLook w:val="04A0" w:firstRow="1" w:lastRow="0" w:firstColumn="1" w:lastColumn="0" w:noHBand="0" w:noVBand="1"/>
      </w:tblPr>
      <w:tblGrid>
        <w:gridCol w:w="2720"/>
        <w:gridCol w:w="1396"/>
        <w:gridCol w:w="1397"/>
        <w:gridCol w:w="1396"/>
        <w:gridCol w:w="1397"/>
        <w:gridCol w:w="1396"/>
        <w:gridCol w:w="1397"/>
        <w:gridCol w:w="1396"/>
        <w:gridCol w:w="1397"/>
      </w:tblGrid>
      <w:tr w:rsidR="001B1C94" w:rsidRPr="00506DDA" w14:paraId="16CDFECB" w14:textId="77777777" w:rsidTr="00976B6E">
        <w:trPr>
          <w:trHeight w:val="300"/>
        </w:trPr>
        <w:tc>
          <w:tcPr>
            <w:tcW w:w="2720" w:type="dxa"/>
            <w:tcBorders>
              <w:top w:val="single" w:sz="4" w:space="0" w:color="auto"/>
              <w:left w:val="single" w:sz="4" w:space="0" w:color="auto"/>
              <w:bottom w:val="single" w:sz="4" w:space="0" w:color="auto"/>
            </w:tcBorders>
            <w:shd w:val="clear" w:color="auto" w:fill="9CC2E5" w:themeFill="accent5" w:themeFillTint="99"/>
            <w:noWrap/>
            <w:hideMark/>
          </w:tcPr>
          <w:p w14:paraId="19DD5212" w14:textId="77777777" w:rsidR="001B1C94" w:rsidRPr="00506DDA" w:rsidRDefault="001B1C94" w:rsidP="006679D7">
            <w:pPr>
              <w:spacing w:after="0" w:line="240" w:lineRule="auto"/>
              <w:rPr>
                <w:sz w:val="20"/>
                <w:szCs w:val="20"/>
                <w:lang w:eastAsia="en-IE"/>
              </w:rPr>
            </w:pPr>
          </w:p>
        </w:tc>
        <w:tc>
          <w:tcPr>
            <w:tcW w:w="2793" w:type="dxa"/>
            <w:gridSpan w:val="2"/>
            <w:tcBorders>
              <w:top w:val="single" w:sz="4" w:space="0" w:color="auto"/>
              <w:bottom w:val="single" w:sz="4" w:space="0" w:color="auto"/>
            </w:tcBorders>
            <w:shd w:val="clear" w:color="auto" w:fill="9CC2E5" w:themeFill="accent5" w:themeFillTint="99"/>
            <w:noWrap/>
            <w:hideMark/>
          </w:tcPr>
          <w:p w14:paraId="5AA24990"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Und</w:t>
            </w:r>
            <w:r>
              <w:rPr>
                <w:rFonts w:ascii="Calibri" w:hAnsi="Calibri" w:cs="Calibri"/>
                <w:color w:val="000000"/>
                <w:lang w:eastAsia="en-IE"/>
              </w:rPr>
              <w:t>isturbed</w:t>
            </w:r>
            <w:r w:rsidRPr="00506DDA">
              <w:rPr>
                <w:rFonts w:ascii="Calibri" w:hAnsi="Calibri" w:cs="Calibri"/>
                <w:color w:val="000000"/>
                <w:lang w:eastAsia="en-IE"/>
              </w:rPr>
              <w:t xml:space="preserve"> Control</w:t>
            </w:r>
          </w:p>
        </w:tc>
        <w:tc>
          <w:tcPr>
            <w:tcW w:w="2793" w:type="dxa"/>
            <w:gridSpan w:val="2"/>
            <w:tcBorders>
              <w:top w:val="single" w:sz="4" w:space="0" w:color="auto"/>
              <w:bottom w:val="single" w:sz="4" w:space="0" w:color="auto"/>
            </w:tcBorders>
            <w:shd w:val="clear" w:color="auto" w:fill="9CC2E5" w:themeFill="accent5" w:themeFillTint="99"/>
            <w:noWrap/>
            <w:hideMark/>
          </w:tcPr>
          <w:p w14:paraId="1EED0F07"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Milk control</w:t>
            </w:r>
          </w:p>
        </w:tc>
        <w:tc>
          <w:tcPr>
            <w:tcW w:w="2793" w:type="dxa"/>
            <w:gridSpan w:val="2"/>
            <w:tcBorders>
              <w:top w:val="single" w:sz="4" w:space="0" w:color="auto"/>
              <w:bottom w:val="single" w:sz="4" w:space="0" w:color="auto"/>
            </w:tcBorders>
            <w:shd w:val="clear" w:color="auto" w:fill="9CC2E5" w:themeFill="accent5" w:themeFillTint="99"/>
            <w:noWrap/>
            <w:hideMark/>
          </w:tcPr>
          <w:p w14:paraId="076640BC"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Kefir - Fr1</w:t>
            </w:r>
          </w:p>
        </w:tc>
        <w:tc>
          <w:tcPr>
            <w:tcW w:w="2793" w:type="dxa"/>
            <w:gridSpan w:val="2"/>
            <w:tcBorders>
              <w:top w:val="single" w:sz="4" w:space="0" w:color="auto"/>
              <w:bottom w:val="single" w:sz="4" w:space="0" w:color="auto"/>
              <w:right w:val="single" w:sz="4" w:space="0" w:color="auto"/>
            </w:tcBorders>
            <w:shd w:val="clear" w:color="auto" w:fill="9CC2E5" w:themeFill="accent5" w:themeFillTint="99"/>
            <w:noWrap/>
            <w:hideMark/>
          </w:tcPr>
          <w:p w14:paraId="78CE20D2"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Kefir - UK4</w:t>
            </w:r>
          </w:p>
        </w:tc>
      </w:tr>
      <w:tr w:rsidR="001B1C94" w:rsidRPr="00506DDA" w14:paraId="165A8F12" w14:textId="77777777" w:rsidTr="00976B6E">
        <w:trPr>
          <w:trHeight w:val="300"/>
        </w:trPr>
        <w:tc>
          <w:tcPr>
            <w:tcW w:w="2720" w:type="dxa"/>
            <w:tcBorders>
              <w:top w:val="single" w:sz="4" w:space="0" w:color="auto"/>
              <w:left w:val="single" w:sz="4" w:space="0" w:color="auto"/>
              <w:right w:val="single" w:sz="4" w:space="0" w:color="auto"/>
            </w:tcBorders>
            <w:noWrap/>
            <w:hideMark/>
          </w:tcPr>
          <w:p w14:paraId="77B477CD" w14:textId="77777777" w:rsidR="001B1C94" w:rsidRPr="00506DDA" w:rsidRDefault="001B1C94" w:rsidP="006679D7">
            <w:pPr>
              <w:spacing w:after="0" w:line="240" w:lineRule="auto"/>
              <w:rPr>
                <w:sz w:val="20"/>
                <w:szCs w:val="20"/>
                <w:lang w:eastAsia="en-IE"/>
              </w:rPr>
            </w:pPr>
          </w:p>
        </w:tc>
        <w:tc>
          <w:tcPr>
            <w:tcW w:w="1396" w:type="dxa"/>
            <w:tcBorders>
              <w:top w:val="single" w:sz="4" w:space="0" w:color="auto"/>
              <w:left w:val="single" w:sz="4" w:space="0" w:color="auto"/>
            </w:tcBorders>
            <w:noWrap/>
            <w:hideMark/>
          </w:tcPr>
          <w:p w14:paraId="6164ED4E"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Average (mM)</w:t>
            </w:r>
          </w:p>
        </w:tc>
        <w:tc>
          <w:tcPr>
            <w:tcW w:w="1397" w:type="dxa"/>
            <w:tcBorders>
              <w:top w:val="single" w:sz="4" w:space="0" w:color="auto"/>
              <w:right w:val="single" w:sz="4" w:space="0" w:color="auto"/>
            </w:tcBorders>
            <w:noWrap/>
            <w:hideMark/>
          </w:tcPr>
          <w:p w14:paraId="77F0B0A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SEM</w:t>
            </w:r>
          </w:p>
        </w:tc>
        <w:tc>
          <w:tcPr>
            <w:tcW w:w="1396" w:type="dxa"/>
            <w:tcBorders>
              <w:top w:val="single" w:sz="4" w:space="0" w:color="auto"/>
              <w:left w:val="single" w:sz="4" w:space="0" w:color="auto"/>
            </w:tcBorders>
            <w:noWrap/>
            <w:hideMark/>
          </w:tcPr>
          <w:p w14:paraId="67B62FBD"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Average (mM)</w:t>
            </w:r>
          </w:p>
        </w:tc>
        <w:tc>
          <w:tcPr>
            <w:tcW w:w="1397" w:type="dxa"/>
            <w:tcBorders>
              <w:top w:val="single" w:sz="4" w:space="0" w:color="auto"/>
              <w:right w:val="single" w:sz="4" w:space="0" w:color="auto"/>
            </w:tcBorders>
            <w:noWrap/>
            <w:hideMark/>
          </w:tcPr>
          <w:p w14:paraId="535258AD"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SEM</w:t>
            </w:r>
          </w:p>
        </w:tc>
        <w:tc>
          <w:tcPr>
            <w:tcW w:w="1396" w:type="dxa"/>
            <w:tcBorders>
              <w:top w:val="single" w:sz="4" w:space="0" w:color="auto"/>
              <w:left w:val="single" w:sz="4" w:space="0" w:color="auto"/>
            </w:tcBorders>
            <w:noWrap/>
            <w:hideMark/>
          </w:tcPr>
          <w:p w14:paraId="1920B7B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Average (mM)</w:t>
            </w:r>
          </w:p>
        </w:tc>
        <w:tc>
          <w:tcPr>
            <w:tcW w:w="1397" w:type="dxa"/>
            <w:tcBorders>
              <w:top w:val="single" w:sz="4" w:space="0" w:color="auto"/>
              <w:right w:val="single" w:sz="4" w:space="0" w:color="auto"/>
            </w:tcBorders>
            <w:noWrap/>
            <w:hideMark/>
          </w:tcPr>
          <w:p w14:paraId="1734E3A4"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SEM</w:t>
            </w:r>
          </w:p>
        </w:tc>
        <w:tc>
          <w:tcPr>
            <w:tcW w:w="1396" w:type="dxa"/>
            <w:tcBorders>
              <w:top w:val="single" w:sz="4" w:space="0" w:color="auto"/>
              <w:left w:val="single" w:sz="4" w:space="0" w:color="auto"/>
            </w:tcBorders>
            <w:noWrap/>
            <w:hideMark/>
          </w:tcPr>
          <w:p w14:paraId="630DBD3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Average (mM)</w:t>
            </w:r>
          </w:p>
        </w:tc>
        <w:tc>
          <w:tcPr>
            <w:tcW w:w="1397" w:type="dxa"/>
            <w:tcBorders>
              <w:top w:val="single" w:sz="4" w:space="0" w:color="auto"/>
              <w:right w:val="single" w:sz="4" w:space="0" w:color="auto"/>
            </w:tcBorders>
            <w:noWrap/>
            <w:hideMark/>
          </w:tcPr>
          <w:p w14:paraId="2121522F"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SEM</w:t>
            </w:r>
          </w:p>
        </w:tc>
      </w:tr>
      <w:tr w:rsidR="001B1C94" w:rsidRPr="00506DDA" w14:paraId="289422F2" w14:textId="77777777" w:rsidTr="00976B6E">
        <w:trPr>
          <w:trHeight w:val="300"/>
        </w:trPr>
        <w:tc>
          <w:tcPr>
            <w:tcW w:w="2720" w:type="dxa"/>
            <w:tcBorders>
              <w:left w:val="single" w:sz="4" w:space="0" w:color="auto"/>
              <w:right w:val="single" w:sz="4" w:space="0" w:color="auto"/>
            </w:tcBorders>
            <w:noWrap/>
            <w:hideMark/>
          </w:tcPr>
          <w:p w14:paraId="2B2F6FA5"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Alanine</w:t>
            </w:r>
          </w:p>
        </w:tc>
        <w:tc>
          <w:tcPr>
            <w:tcW w:w="1396" w:type="dxa"/>
            <w:tcBorders>
              <w:left w:val="single" w:sz="4" w:space="0" w:color="auto"/>
            </w:tcBorders>
            <w:noWrap/>
            <w:hideMark/>
          </w:tcPr>
          <w:p w14:paraId="55DAD91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0.65</w:t>
            </w:r>
          </w:p>
        </w:tc>
        <w:tc>
          <w:tcPr>
            <w:tcW w:w="1397" w:type="dxa"/>
            <w:tcBorders>
              <w:right w:val="single" w:sz="4" w:space="0" w:color="auto"/>
            </w:tcBorders>
            <w:noWrap/>
            <w:hideMark/>
          </w:tcPr>
          <w:p w14:paraId="47C64FF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0.15</w:t>
            </w:r>
          </w:p>
        </w:tc>
        <w:tc>
          <w:tcPr>
            <w:tcW w:w="1396" w:type="dxa"/>
            <w:tcBorders>
              <w:left w:val="single" w:sz="4" w:space="0" w:color="auto"/>
            </w:tcBorders>
            <w:noWrap/>
            <w:hideMark/>
          </w:tcPr>
          <w:p w14:paraId="1DF7B5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0.51</w:t>
            </w:r>
          </w:p>
        </w:tc>
        <w:tc>
          <w:tcPr>
            <w:tcW w:w="1397" w:type="dxa"/>
            <w:tcBorders>
              <w:right w:val="single" w:sz="4" w:space="0" w:color="auto"/>
            </w:tcBorders>
            <w:noWrap/>
            <w:hideMark/>
          </w:tcPr>
          <w:p w14:paraId="430AA86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0.18</w:t>
            </w:r>
          </w:p>
        </w:tc>
        <w:tc>
          <w:tcPr>
            <w:tcW w:w="1396" w:type="dxa"/>
            <w:tcBorders>
              <w:left w:val="single" w:sz="4" w:space="0" w:color="auto"/>
            </w:tcBorders>
            <w:noWrap/>
            <w:hideMark/>
          </w:tcPr>
          <w:p w14:paraId="0AEB3B7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0.58</w:t>
            </w:r>
          </w:p>
        </w:tc>
        <w:tc>
          <w:tcPr>
            <w:tcW w:w="1397" w:type="dxa"/>
            <w:tcBorders>
              <w:right w:val="single" w:sz="4" w:space="0" w:color="auto"/>
            </w:tcBorders>
            <w:noWrap/>
            <w:hideMark/>
          </w:tcPr>
          <w:p w14:paraId="7D54A84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0.24</w:t>
            </w:r>
          </w:p>
        </w:tc>
        <w:tc>
          <w:tcPr>
            <w:tcW w:w="1396" w:type="dxa"/>
            <w:tcBorders>
              <w:left w:val="single" w:sz="4" w:space="0" w:color="auto"/>
            </w:tcBorders>
            <w:noWrap/>
            <w:hideMark/>
          </w:tcPr>
          <w:p w14:paraId="33C8B58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0.75</w:t>
            </w:r>
          </w:p>
        </w:tc>
        <w:tc>
          <w:tcPr>
            <w:tcW w:w="1397" w:type="dxa"/>
            <w:tcBorders>
              <w:right w:val="single" w:sz="4" w:space="0" w:color="auto"/>
            </w:tcBorders>
            <w:noWrap/>
            <w:hideMark/>
          </w:tcPr>
          <w:p w14:paraId="35E8370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0.37</w:t>
            </w:r>
          </w:p>
        </w:tc>
      </w:tr>
      <w:tr w:rsidR="001B1C94" w:rsidRPr="00506DDA" w14:paraId="438CD1C6" w14:textId="77777777" w:rsidTr="00976B6E">
        <w:trPr>
          <w:trHeight w:val="300"/>
        </w:trPr>
        <w:tc>
          <w:tcPr>
            <w:tcW w:w="2720" w:type="dxa"/>
            <w:tcBorders>
              <w:left w:val="single" w:sz="4" w:space="0" w:color="auto"/>
              <w:right w:val="single" w:sz="4" w:space="0" w:color="auto"/>
            </w:tcBorders>
            <w:noWrap/>
            <w:hideMark/>
          </w:tcPr>
          <w:p w14:paraId="560D6D1D"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Glycine</w:t>
            </w:r>
          </w:p>
        </w:tc>
        <w:tc>
          <w:tcPr>
            <w:tcW w:w="1396" w:type="dxa"/>
            <w:tcBorders>
              <w:left w:val="single" w:sz="4" w:space="0" w:color="auto"/>
            </w:tcBorders>
            <w:noWrap/>
            <w:hideMark/>
          </w:tcPr>
          <w:p w14:paraId="5C1FCB2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0.20</w:t>
            </w:r>
          </w:p>
        </w:tc>
        <w:tc>
          <w:tcPr>
            <w:tcW w:w="1397" w:type="dxa"/>
            <w:tcBorders>
              <w:right w:val="single" w:sz="4" w:space="0" w:color="auto"/>
            </w:tcBorders>
            <w:noWrap/>
            <w:hideMark/>
          </w:tcPr>
          <w:p w14:paraId="4AC153E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6" w:type="dxa"/>
            <w:tcBorders>
              <w:left w:val="single" w:sz="4" w:space="0" w:color="auto"/>
            </w:tcBorders>
            <w:noWrap/>
            <w:hideMark/>
          </w:tcPr>
          <w:p w14:paraId="75BDDD9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7" w:type="dxa"/>
            <w:tcBorders>
              <w:right w:val="single" w:sz="4" w:space="0" w:color="auto"/>
            </w:tcBorders>
            <w:noWrap/>
            <w:hideMark/>
          </w:tcPr>
          <w:p w14:paraId="0FEA43D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6" w:type="dxa"/>
            <w:tcBorders>
              <w:left w:val="single" w:sz="4" w:space="0" w:color="auto"/>
            </w:tcBorders>
            <w:noWrap/>
            <w:hideMark/>
          </w:tcPr>
          <w:p w14:paraId="293A720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0.16</w:t>
            </w:r>
          </w:p>
        </w:tc>
        <w:tc>
          <w:tcPr>
            <w:tcW w:w="1397" w:type="dxa"/>
            <w:tcBorders>
              <w:right w:val="single" w:sz="4" w:space="0" w:color="auto"/>
            </w:tcBorders>
            <w:noWrap/>
            <w:hideMark/>
          </w:tcPr>
          <w:p w14:paraId="4235D40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6" w:type="dxa"/>
            <w:tcBorders>
              <w:left w:val="single" w:sz="4" w:space="0" w:color="auto"/>
            </w:tcBorders>
            <w:noWrap/>
            <w:hideMark/>
          </w:tcPr>
          <w:p w14:paraId="26140E0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0.29</w:t>
            </w:r>
          </w:p>
        </w:tc>
        <w:tc>
          <w:tcPr>
            <w:tcW w:w="1397" w:type="dxa"/>
            <w:tcBorders>
              <w:right w:val="single" w:sz="4" w:space="0" w:color="auto"/>
            </w:tcBorders>
            <w:noWrap/>
            <w:hideMark/>
          </w:tcPr>
          <w:p w14:paraId="6A6BC5B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r>
      <w:tr w:rsidR="001B1C94" w:rsidRPr="00506DDA" w14:paraId="63A596F5" w14:textId="77777777" w:rsidTr="00976B6E">
        <w:trPr>
          <w:trHeight w:val="300"/>
        </w:trPr>
        <w:tc>
          <w:tcPr>
            <w:tcW w:w="2720" w:type="dxa"/>
            <w:tcBorders>
              <w:left w:val="single" w:sz="4" w:space="0" w:color="auto"/>
              <w:right w:val="single" w:sz="4" w:space="0" w:color="auto"/>
            </w:tcBorders>
            <w:noWrap/>
            <w:hideMark/>
          </w:tcPr>
          <w:p w14:paraId="0C58800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Valine</w:t>
            </w:r>
          </w:p>
        </w:tc>
        <w:tc>
          <w:tcPr>
            <w:tcW w:w="1396" w:type="dxa"/>
            <w:tcBorders>
              <w:left w:val="single" w:sz="4" w:space="0" w:color="auto"/>
            </w:tcBorders>
            <w:noWrap/>
            <w:hideMark/>
          </w:tcPr>
          <w:p w14:paraId="3A348A5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7" w:type="dxa"/>
            <w:tcBorders>
              <w:right w:val="single" w:sz="4" w:space="0" w:color="auto"/>
            </w:tcBorders>
            <w:noWrap/>
            <w:hideMark/>
          </w:tcPr>
          <w:p w14:paraId="0CAC513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6" w:type="dxa"/>
            <w:tcBorders>
              <w:left w:val="single" w:sz="4" w:space="0" w:color="auto"/>
            </w:tcBorders>
            <w:noWrap/>
            <w:hideMark/>
          </w:tcPr>
          <w:p w14:paraId="49B3D55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130C2CD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6" w:type="dxa"/>
            <w:tcBorders>
              <w:left w:val="single" w:sz="4" w:space="0" w:color="auto"/>
            </w:tcBorders>
            <w:noWrap/>
            <w:hideMark/>
          </w:tcPr>
          <w:p w14:paraId="552123D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0.20</w:t>
            </w:r>
          </w:p>
        </w:tc>
        <w:tc>
          <w:tcPr>
            <w:tcW w:w="1397" w:type="dxa"/>
            <w:tcBorders>
              <w:right w:val="single" w:sz="4" w:space="0" w:color="auto"/>
            </w:tcBorders>
            <w:noWrap/>
            <w:hideMark/>
          </w:tcPr>
          <w:p w14:paraId="736828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6" w:type="dxa"/>
            <w:tcBorders>
              <w:left w:val="single" w:sz="4" w:space="0" w:color="auto"/>
            </w:tcBorders>
            <w:noWrap/>
            <w:hideMark/>
          </w:tcPr>
          <w:p w14:paraId="7DF2F1F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0.28</w:t>
            </w:r>
          </w:p>
        </w:tc>
        <w:tc>
          <w:tcPr>
            <w:tcW w:w="1397" w:type="dxa"/>
            <w:tcBorders>
              <w:right w:val="single" w:sz="4" w:space="0" w:color="auto"/>
            </w:tcBorders>
            <w:noWrap/>
            <w:hideMark/>
          </w:tcPr>
          <w:p w14:paraId="6C390C9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r>
      <w:tr w:rsidR="001B1C94" w:rsidRPr="00506DDA" w14:paraId="1A7CC056" w14:textId="77777777" w:rsidTr="00976B6E">
        <w:trPr>
          <w:trHeight w:val="300"/>
        </w:trPr>
        <w:tc>
          <w:tcPr>
            <w:tcW w:w="2720" w:type="dxa"/>
            <w:tcBorders>
              <w:left w:val="single" w:sz="4" w:space="0" w:color="auto"/>
              <w:right w:val="single" w:sz="4" w:space="0" w:color="auto"/>
            </w:tcBorders>
            <w:noWrap/>
            <w:hideMark/>
          </w:tcPr>
          <w:p w14:paraId="629D308F"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Leucine</w:t>
            </w:r>
          </w:p>
        </w:tc>
        <w:tc>
          <w:tcPr>
            <w:tcW w:w="1396" w:type="dxa"/>
            <w:tcBorders>
              <w:left w:val="single" w:sz="4" w:space="0" w:color="auto"/>
            </w:tcBorders>
            <w:noWrap/>
            <w:hideMark/>
          </w:tcPr>
          <w:p w14:paraId="435CCBF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0.22</w:t>
            </w:r>
          </w:p>
        </w:tc>
        <w:tc>
          <w:tcPr>
            <w:tcW w:w="1397" w:type="dxa"/>
            <w:tcBorders>
              <w:right w:val="single" w:sz="4" w:space="0" w:color="auto"/>
            </w:tcBorders>
            <w:noWrap/>
            <w:hideMark/>
          </w:tcPr>
          <w:p w14:paraId="5A08CF4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6" w:type="dxa"/>
            <w:tcBorders>
              <w:left w:val="single" w:sz="4" w:space="0" w:color="auto"/>
            </w:tcBorders>
            <w:noWrap/>
            <w:hideMark/>
          </w:tcPr>
          <w:p w14:paraId="1F04411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0140E91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6" w:type="dxa"/>
            <w:tcBorders>
              <w:left w:val="single" w:sz="4" w:space="0" w:color="auto"/>
            </w:tcBorders>
            <w:noWrap/>
            <w:hideMark/>
          </w:tcPr>
          <w:p w14:paraId="323AEED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19EAC0D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6" w:type="dxa"/>
            <w:tcBorders>
              <w:left w:val="single" w:sz="4" w:space="0" w:color="auto"/>
            </w:tcBorders>
            <w:noWrap/>
            <w:hideMark/>
          </w:tcPr>
          <w:p w14:paraId="5DF5100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0.26</w:t>
            </w:r>
          </w:p>
        </w:tc>
        <w:tc>
          <w:tcPr>
            <w:tcW w:w="1397" w:type="dxa"/>
            <w:tcBorders>
              <w:right w:val="single" w:sz="4" w:space="0" w:color="auto"/>
            </w:tcBorders>
            <w:noWrap/>
            <w:hideMark/>
          </w:tcPr>
          <w:p w14:paraId="1D74877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r>
      <w:tr w:rsidR="001B1C94" w:rsidRPr="00506DDA" w14:paraId="79472A82" w14:textId="77777777" w:rsidTr="00976B6E">
        <w:trPr>
          <w:trHeight w:val="300"/>
        </w:trPr>
        <w:tc>
          <w:tcPr>
            <w:tcW w:w="2720" w:type="dxa"/>
            <w:tcBorders>
              <w:left w:val="single" w:sz="4" w:space="0" w:color="auto"/>
              <w:right w:val="single" w:sz="4" w:space="0" w:color="auto"/>
            </w:tcBorders>
            <w:noWrap/>
            <w:hideMark/>
          </w:tcPr>
          <w:p w14:paraId="3EEB6541"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Isoleucine</w:t>
            </w:r>
          </w:p>
        </w:tc>
        <w:tc>
          <w:tcPr>
            <w:tcW w:w="1396" w:type="dxa"/>
            <w:tcBorders>
              <w:left w:val="single" w:sz="4" w:space="0" w:color="auto"/>
            </w:tcBorders>
            <w:noWrap/>
            <w:hideMark/>
          </w:tcPr>
          <w:p w14:paraId="6798496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0.17</w:t>
            </w:r>
          </w:p>
        </w:tc>
        <w:tc>
          <w:tcPr>
            <w:tcW w:w="1397" w:type="dxa"/>
            <w:tcBorders>
              <w:right w:val="single" w:sz="4" w:space="0" w:color="auto"/>
            </w:tcBorders>
            <w:noWrap/>
            <w:hideMark/>
          </w:tcPr>
          <w:p w14:paraId="5845BA2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0602748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0.13</w:t>
            </w:r>
          </w:p>
        </w:tc>
        <w:tc>
          <w:tcPr>
            <w:tcW w:w="1397" w:type="dxa"/>
            <w:tcBorders>
              <w:right w:val="single" w:sz="4" w:space="0" w:color="auto"/>
            </w:tcBorders>
            <w:noWrap/>
            <w:hideMark/>
          </w:tcPr>
          <w:p w14:paraId="273D588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6" w:type="dxa"/>
            <w:tcBorders>
              <w:left w:val="single" w:sz="4" w:space="0" w:color="auto"/>
            </w:tcBorders>
            <w:noWrap/>
            <w:hideMark/>
          </w:tcPr>
          <w:p w14:paraId="777911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0.14</w:t>
            </w:r>
          </w:p>
        </w:tc>
        <w:tc>
          <w:tcPr>
            <w:tcW w:w="1397" w:type="dxa"/>
            <w:tcBorders>
              <w:right w:val="single" w:sz="4" w:space="0" w:color="auto"/>
            </w:tcBorders>
            <w:noWrap/>
            <w:hideMark/>
          </w:tcPr>
          <w:p w14:paraId="7A959E2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6" w:type="dxa"/>
            <w:tcBorders>
              <w:left w:val="single" w:sz="4" w:space="0" w:color="auto"/>
            </w:tcBorders>
            <w:noWrap/>
            <w:hideMark/>
          </w:tcPr>
          <w:p w14:paraId="58E21DA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c>
          <w:tcPr>
            <w:tcW w:w="1397" w:type="dxa"/>
            <w:tcBorders>
              <w:right w:val="single" w:sz="4" w:space="0" w:color="auto"/>
            </w:tcBorders>
            <w:noWrap/>
            <w:hideMark/>
          </w:tcPr>
          <w:p w14:paraId="759892D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r>
      <w:tr w:rsidR="001B1C94" w:rsidRPr="00506DDA" w14:paraId="0DF86F06" w14:textId="77777777" w:rsidTr="00976B6E">
        <w:trPr>
          <w:trHeight w:val="300"/>
        </w:trPr>
        <w:tc>
          <w:tcPr>
            <w:tcW w:w="2720" w:type="dxa"/>
            <w:tcBorders>
              <w:left w:val="single" w:sz="4" w:space="0" w:color="auto"/>
              <w:right w:val="single" w:sz="4" w:space="0" w:color="auto"/>
            </w:tcBorders>
            <w:noWrap/>
            <w:hideMark/>
          </w:tcPr>
          <w:p w14:paraId="3A36B1BE"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Threonine</w:t>
            </w:r>
          </w:p>
        </w:tc>
        <w:tc>
          <w:tcPr>
            <w:tcW w:w="1396" w:type="dxa"/>
            <w:tcBorders>
              <w:left w:val="single" w:sz="4" w:space="0" w:color="auto"/>
            </w:tcBorders>
            <w:noWrap/>
            <w:hideMark/>
          </w:tcPr>
          <w:p w14:paraId="5F4D8AE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0.14</w:t>
            </w:r>
          </w:p>
        </w:tc>
        <w:tc>
          <w:tcPr>
            <w:tcW w:w="1397" w:type="dxa"/>
            <w:tcBorders>
              <w:right w:val="single" w:sz="4" w:space="0" w:color="auto"/>
            </w:tcBorders>
            <w:noWrap/>
            <w:hideMark/>
          </w:tcPr>
          <w:p w14:paraId="3CD5D72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72AC690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7" w:type="dxa"/>
            <w:tcBorders>
              <w:right w:val="single" w:sz="4" w:space="0" w:color="auto"/>
            </w:tcBorders>
            <w:noWrap/>
            <w:hideMark/>
          </w:tcPr>
          <w:p w14:paraId="5B454A2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6" w:type="dxa"/>
            <w:tcBorders>
              <w:left w:val="single" w:sz="4" w:space="0" w:color="auto"/>
            </w:tcBorders>
            <w:noWrap/>
            <w:hideMark/>
          </w:tcPr>
          <w:p w14:paraId="0C3A2DC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0.14</w:t>
            </w:r>
          </w:p>
        </w:tc>
        <w:tc>
          <w:tcPr>
            <w:tcW w:w="1397" w:type="dxa"/>
            <w:tcBorders>
              <w:right w:val="single" w:sz="4" w:space="0" w:color="auto"/>
            </w:tcBorders>
            <w:noWrap/>
            <w:hideMark/>
          </w:tcPr>
          <w:p w14:paraId="2EFC12C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176A0995"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0.18</w:t>
            </w:r>
            <w:r w:rsidRPr="007B4FB0">
              <w:rPr>
                <w:rFonts w:ascii="Calibri" w:hAnsi="Calibri" w:cs="Calibri"/>
                <w:b/>
                <w:color w:val="000000"/>
                <w:lang w:eastAsia="en-IE"/>
              </w:rPr>
              <w:t>*</w:t>
            </w:r>
          </w:p>
        </w:tc>
        <w:tc>
          <w:tcPr>
            <w:tcW w:w="1397" w:type="dxa"/>
            <w:tcBorders>
              <w:right w:val="single" w:sz="4" w:space="0" w:color="auto"/>
            </w:tcBorders>
            <w:noWrap/>
            <w:hideMark/>
          </w:tcPr>
          <w:p w14:paraId="59FE5B1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r>
      <w:tr w:rsidR="001B1C94" w:rsidRPr="00506DDA" w14:paraId="6EC0C781" w14:textId="77777777" w:rsidTr="00976B6E">
        <w:trPr>
          <w:trHeight w:val="300"/>
        </w:trPr>
        <w:tc>
          <w:tcPr>
            <w:tcW w:w="2720" w:type="dxa"/>
            <w:tcBorders>
              <w:left w:val="single" w:sz="4" w:space="0" w:color="auto"/>
              <w:right w:val="single" w:sz="4" w:space="0" w:color="auto"/>
            </w:tcBorders>
            <w:noWrap/>
            <w:hideMark/>
          </w:tcPr>
          <w:p w14:paraId="0EC7F67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Proline</w:t>
            </w:r>
          </w:p>
        </w:tc>
        <w:tc>
          <w:tcPr>
            <w:tcW w:w="1396" w:type="dxa"/>
            <w:tcBorders>
              <w:left w:val="single" w:sz="4" w:space="0" w:color="auto"/>
            </w:tcBorders>
            <w:noWrap/>
            <w:hideMark/>
          </w:tcPr>
          <w:p w14:paraId="284749C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0.13</w:t>
            </w:r>
          </w:p>
        </w:tc>
        <w:tc>
          <w:tcPr>
            <w:tcW w:w="1397" w:type="dxa"/>
            <w:tcBorders>
              <w:right w:val="single" w:sz="4" w:space="0" w:color="auto"/>
            </w:tcBorders>
            <w:noWrap/>
            <w:hideMark/>
          </w:tcPr>
          <w:p w14:paraId="51E5947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6F7D257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7" w:type="dxa"/>
            <w:tcBorders>
              <w:right w:val="single" w:sz="4" w:space="0" w:color="auto"/>
            </w:tcBorders>
            <w:noWrap/>
            <w:hideMark/>
          </w:tcPr>
          <w:p w14:paraId="2F1251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6CC1A96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7" w:type="dxa"/>
            <w:tcBorders>
              <w:right w:val="single" w:sz="4" w:space="0" w:color="auto"/>
            </w:tcBorders>
            <w:noWrap/>
            <w:hideMark/>
          </w:tcPr>
          <w:p w14:paraId="5C8DB8A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43F0C00B"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0.15</w:t>
            </w:r>
            <w:r w:rsidRPr="007B4FB0">
              <w:rPr>
                <w:rFonts w:ascii="Calibri" w:hAnsi="Calibri" w:cs="Calibri"/>
                <w:b/>
                <w:color w:val="000000"/>
                <w:lang w:eastAsia="en-IE"/>
              </w:rPr>
              <w:t>*</w:t>
            </w:r>
          </w:p>
        </w:tc>
        <w:tc>
          <w:tcPr>
            <w:tcW w:w="1397" w:type="dxa"/>
            <w:tcBorders>
              <w:right w:val="single" w:sz="4" w:space="0" w:color="auto"/>
            </w:tcBorders>
            <w:noWrap/>
            <w:hideMark/>
          </w:tcPr>
          <w:p w14:paraId="060451B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r>
      <w:tr w:rsidR="001B1C94" w:rsidRPr="00506DDA" w14:paraId="0AA2A730" w14:textId="77777777" w:rsidTr="00976B6E">
        <w:trPr>
          <w:trHeight w:val="300"/>
        </w:trPr>
        <w:tc>
          <w:tcPr>
            <w:tcW w:w="2720" w:type="dxa"/>
            <w:tcBorders>
              <w:left w:val="single" w:sz="4" w:space="0" w:color="auto"/>
              <w:right w:val="single" w:sz="4" w:space="0" w:color="auto"/>
            </w:tcBorders>
            <w:noWrap/>
            <w:hideMark/>
          </w:tcPr>
          <w:p w14:paraId="74B285C3"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Asparagine</w:t>
            </w:r>
          </w:p>
        </w:tc>
        <w:tc>
          <w:tcPr>
            <w:tcW w:w="1396" w:type="dxa"/>
            <w:tcBorders>
              <w:left w:val="single" w:sz="4" w:space="0" w:color="auto"/>
            </w:tcBorders>
            <w:noWrap/>
            <w:hideMark/>
          </w:tcPr>
          <w:p w14:paraId="7FC28B3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7" w:type="dxa"/>
            <w:tcBorders>
              <w:right w:val="single" w:sz="4" w:space="0" w:color="auto"/>
            </w:tcBorders>
            <w:noWrap/>
            <w:hideMark/>
          </w:tcPr>
          <w:p w14:paraId="656497A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c>
          <w:tcPr>
            <w:tcW w:w="1396" w:type="dxa"/>
            <w:tcBorders>
              <w:left w:val="single" w:sz="4" w:space="0" w:color="auto"/>
            </w:tcBorders>
            <w:noWrap/>
            <w:hideMark/>
          </w:tcPr>
          <w:p w14:paraId="5F1B8CB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7" w:type="dxa"/>
            <w:tcBorders>
              <w:right w:val="single" w:sz="4" w:space="0" w:color="auto"/>
            </w:tcBorders>
            <w:noWrap/>
            <w:hideMark/>
          </w:tcPr>
          <w:p w14:paraId="3EF1D2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5E319EA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7" w:type="dxa"/>
            <w:tcBorders>
              <w:right w:val="single" w:sz="4" w:space="0" w:color="auto"/>
            </w:tcBorders>
            <w:noWrap/>
            <w:hideMark/>
          </w:tcPr>
          <w:p w14:paraId="30A12B4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3205901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7" w:type="dxa"/>
            <w:tcBorders>
              <w:right w:val="single" w:sz="4" w:space="0" w:color="auto"/>
            </w:tcBorders>
            <w:noWrap/>
            <w:hideMark/>
          </w:tcPr>
          <w:p w14:paraId="1A74B72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r>
      <w:tr w:rsidR="001B1C94" w:rsidRPr="00506DDA" w14:paraId="3E6831FF" w14:textId="77777777" w:rsidTr="00976B6E">
        <w:trPr>
          <w:trHeight w:val="300"/>
        </w:trPr>
        <w:tc>
          <w:tcPr>
            <w:tcW w:w="2720" w:type="dxa"/>
            <w:tcBorders>
              <w:left w:val="single" w:sz="4" w:space="0" w:color="auto"/>
              <w:right w:val="single" w:sz="4" w:space="0" w:color="auto"/>
            </w:tcBorders>
            <w:noWrap/>
            <w:hideMark/>
          </w:tcPr>
          <w:p w14:paraId="1CF49E60"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Glutamine</w:t>
            </w:r>
          </w:p>
        </w:tc>
        <w:tc>
          <w:tcPr>
            <w:tcW w:w="1396" w:type="dxa"/>
            <w:tcBorders>
              <w:left w:val="single" w:sz="4" w:space="0" w:color="auto"/>
            </w:tcBorders>
            <w:noWrap/>
            <w:hideMark/>
          </w:tcPr>
          <w:p w14:paraId="6F6C9CB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0.44</w:t>
            </w:r>
          </w:p>
        </w:tc>
        <w:tc>
          <w:tcPr>
            <w:tcW w:w="1397" w:type="dxa"/>
            <w:tcBorders>
              <w:right w:val="single" w:sz="4" w:space="0" w:color="auto"/>
            </w:tcBorders>
            <w:noWrap/>
            <w:hideMark/>
          </w:tcPr>
          <w:p w14:paraId="34C5228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c>
          <w:tcPr>
            <w:tcW w:w="1396" w:type="dxa"/>
            <w:tcBorders>
              <w:left w:val="single" w:sz="4" w:space="0" w:color="auto"/>
            </w:tcBorders>
            <w:noWrap/>
            <w:hideMark/>
          </w:tcPr>
          <w:p w14:paraId="09C95275"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0.17</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0B6D10B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6" w:type="dxa"/>
            <w:tcBorders>
              <w:left w:val="single" w:sz="4" w:space="0" w:color="auto"/>
            </w:tcBorders>
            <w:noWrap/>
            <w:hideMark/>
          </w:tcPr>
          <w:p w14:paraId="72264D5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c>
          <w:tcPr>
            <w:tcW w:w="1397" w:type="dxa"/>
            <w:tcBorders>
              <w:right w:val="single" w:sz="4" w:space="0" w:color="auto"/>
            </w:tcBorders>
            <w:noWrap/>
            <w:hideMark/>
          </w:tcPr>
          <w:p w14:paraId="4272B45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0.12</w:t>
            </w:r>
          </w:p>
        </w:tc>
        <w:tc>
          <w:tcPr>
            <w:tcW w:w="1396" w:type="dxa"/>
            <w:tcBorders>
              <w:left w:val="single" w:sz="4" w:space="0" w:color="auto"/>
            </w:tcBorders>
            <w:noWrap/>
            <w:hideMark/>
          </w:tcPr>
          <w:p w14:paraId="457C3E8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0.43</w:t>
            </w:r>
          </w:p>
        </w:tc>
        <w:tc>
          <w:tcPr>
            <w:tcW w:w="1397" w:type="dxa"/>
            <w:tcBorders>
              <w:right w:val="single" w:sz="4" w:space="0" w:color="auto"/>
            </w:tcBorders>
            <w:noWrap/>
            <w:hideMark/>
          </w:tcPr>
          <w:p w14:paraId="4A767B6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0.35</w:t>
            </w:r>
          </w:p>
        </w:tc>
      </w:tr>
      <w:tr w:rsidR="001B1C94" w:rsidRPr="00506DDA" w14:paraId="5E5AA170" w14:textId="77777777" w:rsidTr="00976B6E">
        <w:trPr>
          <w:trHeight w:val="300"/>
        </w:trPr>
        <w:tc>
          <w:tcPr>
            <w:tcW w:w="2720" w:type="dxa"/>
            <w:tcBorders>
              <w:left w:val="single" w:sz="4" w:space="0" w:color="auto"/>
              <w:right w:val="single" w:sz="4" w:space="0" w:color="auto"/>
            </w:tcBorders>
            <w:noWrap/>
            <w:hideMark/>
          </w:tcPr>
          <w:p w14:paraId="3E52E3D8"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Serine</w:t>
            </w:r>
          </w:p>
        </w:tc>
        <w:tc>
          <w:tcPr>
            <w:tcW w:w="1396" w:type="dxa"/>
            <w:tcBorders>
              <w:left w:val="single" w:sz="4" w:space="0" w:color="auto"/>
            </w:tcBorders>
            <w:noWrap/>
            <w:hideMark/>
          </w:tcPr>
          <w:p w14:paraId="0CFBB80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2FCEAC5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26B7803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0.18</w:t>
            </w:r>
          </w:p>
        </w:tc>
        <w:tc>
          <w:tcPr>
            <w:tcW w:w="1397" w:type="dxa"/>
            <w:tcBorders>
              <w:right w:val="single" w:sz="4" w:space="0" w:color="auto"/>
            </w:tcBorders>
            <w:noWrap/>
            <w:hideMark/>
          </w:tcPr>
          <w:p w14:paraId="68BEB7A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6" w:type="dxa"/>
            <w:tcBorders>
              <w:left w:val="single" w:sz="4" w:space="0" w:color="auto"/>
            </w:tcBorders>
            <w:noWrap/>
            <w:hideMark/>
          </w:tcPr>
          <w:p w14:paraId="7798CDF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3C23964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6" w:type="dxa"/>
            <w:tcBorders>
              <w:left w:val="single" w:sz="4" w:space="0" w:color="auto"/>
            </w:tcBorders>
            <w:noWrap/>
            <w:hideMark/>
          </w:tcPr>
          <w:p w14:paraId="3C49690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0.22</w:t>
            </w:r>
          </w:p>
        </w:tc>
        <w:tc>
          <w:tcPr>
            <w:tcW w:w="1397" w:type="dxa"/>
            <w:tcBorders>
              <w:right w:val="single" w:sz="4" w:space="0" w:color="auto"/>
            </w:tcBorders>
            <w:noWrap/>
            <w:hideMark/>
          </w:tcPr>
          <w:p w14:paraId="674F0AB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r>
      <w:tr w:rsidR="001B1C94" w:rsidRPr="00506DDA" w14:paraId="038D02F9" w14:textId="77777777" w:rsidTr="00976B6E">
        <w:trPr>
          <w:trHeight w:val="300"/>
        </w:trPr>
        <w:tc>
          <w:tcPr>
            <w:tcW w:w="2720" w:type="dxa"/>
            <w:tcBorders>
              <w:left w:val="single" w:sz="4" w:space="0" w:color="auto"/>
              <w:right w:val="single" w:sz="4" w:space="0" w:color="auto"/>
            </w:tcBorders>
            <w:noWrap/>
            <w:hideMark/>
          </w:tcPr>
          <w:p w14:paraId="55F01DCD"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Glutamic acid</w:t>
            </w:r>
          </w:p>
        </w:tc>
        <w:tc>
          <w:tcPr>
            <w:tcW w:w="1396" w:type="dxa"/>
            <w:tcBorders>
              <w:left w:val="single" w:sz="4" w:space="0" w:color="auto"/>
            </w:tcBorders>
            <w:noWrap/>
            <w:hideMark/>
          </w:tcPr>
          <w:p w14:paraId="77B432B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1.05</w:t>
            </w:r>
          </w:p>
        </w:tc>
        <w:tc>
          <w:tcPr>
            <w:tcW w:w="1397" w:type="dxa"/>
            <w:tcBorders>
              <w:right w:val="single" w:sz="4" w:space="0" w:color="auto"/>
            </w:tcBorders>
            <w:noWrap/>
            <w:hideMark/>
          </w:tcPr>
          <w:p w14:paraId="5709756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0.38</w:t>
            </w:r>
          </w:p>
        </w:tc>
        <w:tc>
          <w:tcPr>
            <w:tcW w:w="1396" w:type="dxa"/>
            <w:tcBorders>
              <w:left w:val="single" w:sz="4" w:space="0" w:color="auto"/>
            </w:tcBorders>
            <w:noWrap/>
            <w:hideMark/>
          </w:tcPr>
          <w:p w14:paraId="20E91CB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0.64</w:t>
            </w:r>
          </w:p>
        </w:tc>
        <w:tc>
          <w:tcPr>
            <w:tcW w:w="1397" w:type="dxa"/>
            <w:tcBorders>
              <w:right w:val="single" w:sz="4" w:space="0" w:color="auto"/>
            </w:tcBorders>
            <w:noWrap/>
            <w:hideMark/>
          </w:tcPr>
          <w:p w14:paraId="29FFC32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0.22</w:t>
            </w:r>
          </w:p>
        </w:tc>
        <w:tc>
          <w:tcPr>
            <w:tcW w:w="1396" w:type="dxa"/>
            <w:tcBorders>
              <w:left w:val="single" w:sz="4" w:space="0" w:color="auto"/>
            </w:tcBorders>
            <w:noWrap/>
            <w:hideMark/>
          </w:tcPr>
          <w:p w14:paraId="53EF19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0.68</w:t>
            </w:r>
          </w:p>
        </w:tc>
        <w:tc>
          <w:tcPr>
            <w:tcW w:w="1397" w:type="dxa"/>
            <w:tcBorders>
              <w:right w:val="single" w:sz="4" w:space="0" w:color="auto"/>
            </w:tcBorders>
            <w:noWrap/>
            <w:hideMark/>
          </w:tcPr>
          <w:p w14:paraId="16C2294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0.45</w:t>
            </w:r>
          </w:p>
        </w:tc>
        <w:tc>
          <w:tcPr>
            <w:tcW w:w="1396" w:type="dxa"/>
            <w:tcBorders>
              <w:left w:val="single" w:sz="4" w:space="0" w:color="auto"/>
            </w:tcBorders>
            <w:noWrap/>
            <w:hideMark/>
          </w:tcPr>
          <w:p w14:paraId="31B691F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1.13</w:t>
            </w:r>
          </w:p>
        </w:tc>
        <w:tc>
          <w:tcPr>
            <w:tcW w:w="1397" w:type="dxa"/>
            <w:tcBorders>
              <w:right w:val="single" w:sz="4" w:space="0" w:color="auto"/>
            </w:tcBorders>
            <w:noWrap/>
            <w:hideMark/>
          </w:tcPr>
          <w:p w14:paraId="440B60C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0.93</w:t>
            </w:r>
          </w:p>
        </w:tc>
      </w:tr>
      <w:tr w:rsidR="001B1C94" w:rsidRPr="00506DDA" w14:paraId="189A7686" w14:textId="77777777" w:rsidTr="00976B6E">
        <w:trPr>
          <w:trHeight w:val="300"/>
        </w:trPr>
        <w:tc>
          <w:tcPr>
            <w:tcW w:w="2720" w:type="dxa"/>
            <w:tcBorders>
              <w:left w:val="single" w:sz="4" w:space="0" w:color="auto"/>
              <w:right w:val="single" w:sz="4" w:space="0" w:color="auto"/>
            </w:tcBorders>
            <w:noWrap/>
            <w:hideMark/>
          </w:tcPr>
          <w:p w14:paraId="53B7B8E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Methionine</w:t>
            </w:r>
          </w:p>
        </w:tc>
        <w:tc>
          <w:tcPr>
            <w:tcW w:w="1396" w:type="dxa"/>
            <w:tcBorders>
              <w:left w:val="single" w:sz="4" w:space="0" w:color="auto"/>
            </w:tcBorders>
            <w:noWrap/>
            <w:hideMark/>
          </w:tcPr>
          <w:p w14:paraId="4A3DB42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7" w:type="dxa"/>
            <w:tcBorders>
              <w:right w:val="single" w:sz="4" w:space="0" w:color="auto"/>
            </w:tcBorders>
            <w:noWrap/>
            <w:hideMark/>
          </w:tcPr>
          <w:p w14:paraId="3C3569D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682AABA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7" w:type="dxa"/>
            <w:tcBorders>
              <w:right w:val="single" w:sz="4" w:space="0" w:color="auto"/>
            </w:tcBorders>
            <w:noWrap/>
            <w:hideMark/>
          </w:tcPr>
          <w:p w14:paraId="48092A1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22A0CC8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0DD37A3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0505412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7" w:type="dxa"/>
            <w:tcBorders>
              <w:right w:val="single" w:sz="4" w:space="0" w:color="auto"/>
            </w:tcBorders>
            <w:noWrap/>
            <w:hideMark/>
          </w:tcPr>
          <w:p w14:paraId="35A1BB4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r>
      <w:tr w:rsidR="001B1C94" w:rsidRPr="00506DDA" w14:paraId="58D13117" w14:textId="77777777" w:rsidTr="00976B6E">
        <w:trPr>
          <w:trHeight w:val="300"/>
        </w:trPr>
        <w:tc>
          <w:tcPr>
            <w:tcW w:w="2720" w:type="dxa"/>
            <w:tcBorders>
              <w:left w:val="single" w:sz="4" w:space="0" w:color="auto"/>
              <w:right w:val="single" w:sz="4" w:space="0" w:color="auto"/>
            </w:tcBorders>
            <w:noWrap/>
            <w:hideMark/>
          </w:tcPr>
          <w:p w14:paraId="78C1C373" w14:textId="77777777" w:rsidR="001B1C94" w:rsidRPr="00506DDA" w:rsidRDefault="001B1C94" w:rsidP="006679D7">
            <w:pPr>
              <w:spacing w:after="0" w:line="240" w:lineRule="auto"/>
              <w:rPr>
                <w:rFonts w:ascii="Calibri" w:hAnsi="Calibri" w:cs="Calibri"/>
                <w:color w:val="000000"/>
                <w:lang w:eastAsia="en-IE"/>
              </w:rPr>
            </w:pPr>
            <w:bookmarkStart w:id="1" w:name="_Hlk532382953"/>
            <w:r w:rsidRPr="00506DDA">
              <w:rPr>
                <w:rFonts w:ascii="Calibri" w:hAnsi="Calibri" w:cs="Calibri"/>
                <w:color w:val="000000"/>
                <w:lang w:eastAsia="en-IE"/>
              </w:rPr>
              <w:t>Phenylalanine</w:t>
            </w:r>
            <w:bookmarkEnd w:id="1"/>
          </w:p>
        </w:tc>
        <w:tc>
          <w:tcPr>
            <w:tcW w:w="1396" w:type="dxa"/>
            <w:tcBorders>
              <w:left w:val="single" w:sz="4" w:space="0" w:color="auto"/>
            </w:tcBorders>
            <w:noWrap/>
            <w:hideMark/>
          </w:tcPr>
          <w:p w14:paraId="3C740BA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7" w:type="dxa"/>
            <w:tcBorders>
              <w:right w:val="single" w:sz="4" w:space="0" w:color="auto"/>
            </w:tcBorders>
            <w:noWrap/>
            <w:hideMark/>
          </w:tcPr>
          <w:p w14:paraId="4AEF459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584E198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7" w:type="dxa"/>
            <w:tcBorders>
              <w:right w:val="single" w:sz="4" w:space="0" w:color="auto"/>
            </w:tcBorders>
            <w:noWrap/>
            <w:hideMark/>
          </w:tcPr>
          <w:p w14:paraId="4736688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0D54A8A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7" w:type="dxa"/>
            <w:tcBorders>
              <w:right w:val="single" w:sz="4" w:space="0" w:color="auto"/>
            </w:tcBorders>
            <w:noWrap/>
            <w:hideMark/>
          </w:tcPr>
          <w:p w14:paraId="03D715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6D708686"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0.13</w:t>
            </w:r>
            <w:r w:rsidRPr="007B4FB0">
              <w:rPr>
                <w:rFonts w:ascii="Calibri" w:hAnsi="Calibri" w:cs="Calibri"/>
                <w:b/>
                <w:color w:val="000000"/>
                <w:lang w:eastAsia="en-IE"/>
              </w:rPr>
              <w:t>*</w:t>
            </w:r>
          </w:p>
        </w:tc>
        <w:tc>
          <w:tcPr>
            <w:tcW w:w="1397" w:type="dxa"/>
            <w:tcBorders>
              <w:right w:val="single" w:sz="4" w:space="0" w:color="auto"/>
            </w:tcBorders>
            <w:noWrap/>
            <w:hideMark/>
          </w:tcPr>
          <w:p w14:paraId="10E5BEB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r>
      <w:tr w:rsidR="001B1C94" w:rsidRPr="00506DDA" w14:paraId="50E7E02D" w14:textId="77777777" w:rsidTr="00976B6E">
        <w:trPr>
          <w:trHeight w:val="300"/>
        </w:trPr>
        <w:tc>
          <w:tcPr>
            <w:tcW w:w="2720" w:type="dxa"/>
            <w:tcBorders>
              <w:left w:val="single" w:sz="4" w:space="0" w:color="auto"/>
              <w:right w:val="single" w:sz="4" w:space="0" w:color="auto"/>
            </w:tcBorders>
            <w:noWrap/>
            <w:hideMark/>
          </w:tcPr>
          <w:p w14:paraId="6C55204F"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Ornithine</w:t>
            </w:r>
          </w:p>
        </w:tc>
        <w:tc>
          <w:tcPr>
            <w:tcW w:w="1396" w:type="dxa"/>
            <w:tcBorders>
              <w:left w:val="single" w:sz="4" w:space="0" w:color="auto"/>
            </w:tcBorders>
            <w:noWrap/>
            <w:hideMark/>
          </w:tcPr>
          <w:p w14:paraId="18C5788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7" w:type="dxa"/>
            <w:tcBorders>
              <w:right w:val="single" w:sz="4" w:space="0" w:color="auto"/>
            </w:tcBorders>
            <w:noWrap/>
            <w:hideMark/>
          </w:tcPr>
          <w:p w14:paraId="6AAE8AD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45106CB6"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0.03</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2227547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59E0249B"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0.05</w:t>
            </w:r>
            <w:r w:rsidRPr="007B4FB0">
              <w:rPr>
                <w:rFonts w:ascii="Calibri" w:hAnsi="Calibri" w:cs="Calibri"/>
                <w:b/>
                <w:color w:val="000000"/>
                <w:lang w:eastAsia="en-IE"/>
              </w:rPr>
              <w:t>*</w:t>
            </w:r>
          </w:p>
        </w:tc>
        <w:tc>
          <w:tcPr>
            <w:tcW w:w="1397" w:type="dxa"/>
            <w:tcBorders>
              <w:right w:val="single" w:sz="4" w:space="0" w:color="auto"/>
            </w:tcBorders>
            <w:noWrap/>
            <w:hideMark/>
          </w:tcPr>
          <w:p w14:paraId="06E9442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3DE91B1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32C1D3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r>
      <w:tr w:rsidR="001B1C94" w:rsidRPr="00506DDA" w14:paraId="42100567" w14:textId="77777777" w:rsidTr="00976B6E">
        <w:trPr>
          <w:trHeight w:val="300"/>
        </w:trPr>
        <w:tc>
          <w:tcPr>
            <w:tcW w:w="2720" w:type="dxa"/>
            <w:tcBorders>
              <w:left w:val="single" w:sz="4" w:space="0" w:color="auto"/>
              <w:right w:val="single" w:sz="4" w:space="0" w:color="auto"/>
            </w:tcBorders>
            <w:noWrap/>
            <w:hideMark/>
          </w:tcPr>
          <w:p w14:paraId="6A9003B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Lysine</w:t>
            </w:r>
          </w:p>
        </w:tc>
        <w:tc>
          <w:tcPr>
            <w:tcW w:w="1396" w:type="dxa"/>
            <w:tcBorders>
              <w:left w:val="single" w:sz="4" w:space="0" w:color="auto"/>
            </w:tcBorders>
            <w:noWrap/>
            <w:hideMark/>
          </w:tcPr>
          <w:p w14:paraId="31EBC7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0.36</w:t>
            </w:r>
          </w:p>
        </w:tc>
        <w:tc>
          <w:tcPr>
            <w:tcW w:w="1397" w:type="dxa"/>
            <w:tcBorders>
              <w:right w:val="single" w:sz="4" w:space="0" w:color="auto"/>
            </w:tcBorders>
            <w:noWrap/>
            <w:hideMark/>
          </w:tcPr>
          <w:p w14:paraId="3D458DB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6" w:type="dxa"/>
            <w:tcBorders>
              <w:left w:val="single" w:sz="4" w:space="0" w:color="auto"/>
            </w:tcBorders>
            <w:noWrap/>
            <w:hideMark/>
          </w:tcPr>
          <w:p w14:paraId="305AD3C4"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0.22</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277ACCB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6" w:type="dxa"/>
            <w:tcBorders>
              <w:left w:val="single" w:sz="4" w:space="0" w:color="auto"/>
            </w:tcBorders>
            <w:noWrap/>
            <w:hideMark/>
          </w:tcPr>
          <w:p w14:paraId="2D0C390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0.27</w:t>
            </w:r>
          </w:p>
        </w:tc>
        <w:tc>
          <w:tcPr>
            <w:tcW w:w="1397" w:type="dxa"/>
            <w:tcBorders>
              <w:right w:val="single" w:sz="4" w:space="0" w:color="auto"/>
            </w:tcBorders>
            <w:noWrap/>
            <w:hideMark/>
          </w:tcPr>
          <w:p w14:paraId="48F4DCB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0.16</w:t>
            </w:r>
          </w:p>
        </w:tc>
        <w:tc>
          <w:tcPr>
            <w:tcW w:w="1396" w:type="dxa"/>
            <w:tcBorders>
              <w:left w:val="single" w:sz="4" w:space="0" w:color="auto"/>
            </w:tcBorders>
            <w:noWrap/>
            <w:hideMark/>
          </w:tcPr>
          <w:p w14:paraId="74C45F80"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0.38</w:t>
            </w:r>
            <w:r w:rsidRPr="007B4FB0">
              <w:rPr>
                <w:rFonts w:ascii="Calibri" w:hAnsi="Calibri" w:cs="Calibri"/>
                <w:b/>
                <w:color w:val="000000"/>
                <w:lang w:eastAsia="en-IE"/>
              </w:rPr>
              <w:t>*</w:t>
            </w:r>
          </w:p>
        </w:tc>
        <w:tc>
          <w:tcPr>
            <w:tcW w:w="1397" w:type="dxa"/>
            <w:tcBorders>
              <w:right w:val="single" w:sz="4" w:space="0" w:color="auto"/>
            </w:tcBorders>
            <w:noWrap/>
            <w:hideMark/>
          </w:tcPr>
          <w:p w14:paraId="2C90977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r>
      <w:tr w:rsidR="001B1C94" w:rsidRPr="00506DDA" w14:paraId="64F7F740" w14:textId="77777777" w:rsidTr="00976B6E">
        <w:trPr>
          <w:trHeight w:val="300"/>
        </w:trPr>
        <w:tc>
          <w:tcPr>
            <w:tcW w:w="2720" w:type="dxa"/>
            <w:tcBorders>
              <w:left w:val="single" w:sz="4" w:space="0" w:color="auto"/>
              <w:right w:val="single" w:sz="4" w:space="0" w:color="auto"/>
            </w:tcBorders>
            <w:noWrap/>
            <w:hideMark/>
          </w:tcPr>
          <w:p w14:paraId="7BAC1156"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Histidine</w:t>
            </w:r>
          </w:p>
        </w:tc>
        <w:tc>
          <w:tcPr>
            <w:tcW w:w="1396" w:type="dxa"/>
            <w:tcBorders>
              <w:left w:val="single" w:sz="4" w:space="0" w:color="auto"/>
            </w:tcBorders>
            <w:noWrap/>
            <w:hideMark/>
          </w:tcPr>
          <w:p w14:paraId="1322170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1.26</w:t>
            </w:r>
          </w:p>
        </w:tc>
        <w:tc>
          <w:tcPr>
            <w:tcW w:w="1397" w:type="dxa"/>
            <w:tcBorders>
              <w:right w:val="single" w:sz="4" w:space="0" w:color="auto"/>
            </w:tcBorders>
            <w:noWrap/>
            <w:hideMark/>
          </w:tcPr>
          <w:p w14:paraId="1DDAABC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0.16</w:t>
            </w:r>
          </w:p>
        </w:tc>
        <w:tc>
          <w:tcPr>
            <w:tcW w:w="1396" w:type="dxa"/>
            <w:tcBorders>
              <w:left w:val="single" w:sz="4" w:space="0" w:color="auto"/>
            </w:tcBorders>
            <w:noWrap/>
            <w:hideMark/>
          </w:tcPr>
          <w:p w14:paraId="68FCE6A1"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0.61</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4928999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6" w:type="dxa"/>
            <w:tcBorders>
              <w:left w:val="single" w:sz="4" w:space="0" w:color="auto"/>
            </w:tcBorders>
            <w:noWrap/>
            <w:hideMark/>
          </w:tcPr>
          <w:p w14:paraId="3597F272"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0.98</w:t>
            </w:r>
            <w:r w:rsidRPr="007B4FB0">
              <w:rPr>
                <w:rFonts w:ascii="Calibri" w:hAnsi="Calibri" w:cs="Calibri"/>
                <w:b/>
                <w:color w:val="000000"/>
                <w:lang w:eastAsia="en-IE"/>
              </w:rPr>
              <w:t>*</w:t>
            </w:r>
          </w:p>
        </w:tc>
        <w:tc>
          <w:tcPr>
            <w:tcW w:w="1397" w:type="dxa"/>
            <w:tcBorders>
              <w:right w:val="single" w:sz="4" w:space="0" w:color="auto"/>
            </w:tcBorders>
            <w:noWrap/>
            <w:hideMark/>
          </w:tcPr>
          <w:p w14:paraId="213CBDA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0.30</w:t>
            </w:r>
          </w:p>
        </w:tc>
        <w:tc>
          <w:tcPr>
            <w:tcW w:w="1396" w:type="dxa"/>
            <w:tcBorders>
              <w:left w:val="single" w:sz="4" w:space="0" w:color="auto"/>
            </w:tcBorders>
            <w:noWrap/>
            <w:hideMark/>
          </w:tcPr>
          <w:p w14:paraId="324593E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1.15</w:t>
            </w:r>
          </w:p>
        </w:tc>
        <w:tc>
          <w:tcPr>
            <w:tcW w:w="1397" w:type="dxa"/>
            <w:tcBorders>
              <w:right w:val="single" w:sz="4" w:space="0" w:color="auto"/>
            </w:tcBorders>
            <w:noWrap/>
            <w:hideMark/>
          </w:tcPr>
          <w:p w14:paraId="3246E62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0.49</w:t>
            </w:r>
          </w:p>
        </w:tc>
      </w:tr>
      <w:tr w:rsidR="001B1C94" w:rsidRPr="00506DDA" w14:paraId="3145B010" w14:textId="77777777" w:rsidTr="00976B6E">
        <w:trPr>
          <w:trHeight w:val="300"/>
        </w:trPr>
        <w:tc>
          <w:tcPr>
            <w:tcW w:w="2720" w:type="dxa"/>
            <w:tcBorders>
              <w:left w:val="single" w:sz="4" w:space="0" w:color="auto"/>
              <w:right w:val="single" w:sz="4" w:space="0" w:color="auto"/>
            </w:tcBorders>
            <w:noWrap/>
            <w:hideMark/>
          </w:tcPr>
          <w:p w14:paraId="17D53BF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Tyrosine</w:t>
            </w:r>
          </w:p>
        </w:tc>
        <w:tc>
          <w:tcPr>
            <w:tcW w:w="1396" w:type="dxa"/>
            <w:tcBorders>
              <w:left w:val="single" w:sz="4" w:space="0" w:color="auto"/>
            </w:tcBorders>
            <w:noWrap/>
            <w:hideMark/>
          </w:tcPr>
          <w:p w14:paraId="6A6AA49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7" w:type="dxa"/>
            <w:tcBorders>
              <w:right w:val="single" w:sz="4" w:space="0" w:color="auto"/>
            </w:tcBorders>
            <w:noWrap/>
            <w:hideMark/>
          </w:tcPr>
          <w:p w14:paraId="1839D6C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7DF07B0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7" w:type="dxa"/>
            <w:tcBorders>
              <w:right w:val="single" w:sz="4" w:space="0" w:color="auto"/>
            </w:tcBorders>
            <w:noWrap/>
            <w:hideMark/>
          </w:tcPr>
          <w:p w14:paraId="0DACE8B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3D68128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7" w:type="dxa"/>
            <w:tcBorders>
              <w:right w:val="single" w:sz="4" w:space="0" w:color="auto"/>
            </w:tcBorders>
            <w:noWrap/>
            <w:hideMark/>
          </w:tcPr>
          <w:p w14:paraId="5C9C071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68C981E1"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0.12</w:t>
            </w:r>
            <w:r w:rsidRPr="007B4FB0">
              <w:rPr>
                <w:rFonts w:ascii="Calibri" w:hAnsi="Calibri" w:cs="Calibri"/>
                <w:b/>
                <w:color w:val="000000"/>
                <w:lang w:eastAsia="en-IE"/>
              </w:rPr>
              <w:t>*</w:t>
            </w:r>
          </w:p>
        </w:tc>
        <w:tc>
          <w:tcPr>
            <w:tcW w:w="1397" w:type="dxa"/>
            <w:tcBorders>
              <w:right w:val="single" w:sz="4" w:space="0" w:color="auto"/>
            </w:tcBorders>
            <w:noWrap/>
            <w:hideMark/>
          </w:tcPr>
          <w:p w14:paraId="1588843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r>
      <w:tr w:rsidR="001B1C94" w:rsidRPr="00506DDA" w14:paraId="655EE022" w14:textId="77777777" w:rsidTr="00976B6E">
        <w:trPr>
          <w:trHeight w:val="300"/>
        </w:trPr>
        <w:tc>
          <w:tcPr>
            <w:tcW w:w="2720" w:type="dxa"/>
            <w:tcBorders>
              <w:left w:val="single" w:sz="4" w:space="0" w:color="auto"/>
              <w:right w:val="single" w:sz="4" w:space="0" w:color="auto"/>
            </w:tcBorders>
            <w:noWrap/>
            <w:hideMark/>
          </w:tcPr>
          <w:p w14:paraId="59802D7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Aspartic acid</w:t>
            </w:r>
          </w:p>
        </w:tc>
        <w:tc>
          <w:tcPr>
            <w:tcW w:w="1396" w:type="dxa"/>
            <w:tcBorders>
              <w:left w:val="single" w:sz="4" w:space="0" w:color="auto"/>
            </w:tcBorders>
            <w:noWrap/>
            <w:hideMark/>
          </w:tcPr>
          <w:p w14:paraId="255D8F1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0.12</w:t>
            </w:r>
          </w:p>
        </w:tc>
        <w:tc>
          <w:tcPr>
            <w:tcW w:w="1397" w:type="dxa"/>
            <w:tcBorders>
              <w:right w:val="single" w:sz="4" w:space="0" w:color="auto"/>
            </w:tcBorders>
            <w:noWrap/>
            <w:hideMark/>
          </w:tcPr>
          <w:p w14:paraId="1147432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75E88BF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0.12</w:t>
            </w:r>
          </w:p>
        </w:tc>
        <w:tc>
          <w:tcPr>
            <w:tcW w:w="1397" w:type="dxa"/>
            <w:tcBorders>
              <w:right w:val="single" w:sz="4" w:space="0" w:color="auto"/>
            </w:tcBorders>
            <w:noWrap/>
            <w:hideMark/>
          </w:tcPr>
          <w:p w14:paraId="754F015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6" w:type="dxa"/>
            <w:tcBorders>
              <w:left w:val="single" w:sz="4" w:space="0" w:color="auto"/>
            </w:tcBorders>
            <w:noWrap/>
            <w:hideMark/>
          </w:tcPr>
          <w:p w14:paraId="72F3227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7" w:type="dxa"/>
            <w:tcBorders>
              <w:right w:val="single" w:sz="4" w:space="0" w:color="auto"/>
            </w:tcBorders>
            <w:noWrap/>
            <w:hideMark/>
          </w:tcPr>
          <w:p w14:paraId="747E5AE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2E71BC1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0.15</w:t>
            </w:r>
          </w:p>
        </w:tc>
        <w:tc>
          <w:tcPr>
            <w:tcW w:w="1397" w:type="dxa"/>
            <w:tcBorders>
              <w:right w:val="single" w:sz="4" w:space="0" w:color="auto"/>
            </w:tcBorders>
            <w:noWrap/>
            <w:hideMark/>
          </w:tcPr>
          <w:p w14:paraId="5C48868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r>
      <w:tr w:rsidR="001B1C94" w:rsidRPr="00506DDA" w14:paraId="1726A7AD" w14:textId="77777777" w:rsidTr="00976B6E">
        <w:trPr>
          <w:trHeight w:val="300"/>
        </w:trPr>
        <w:tc>
          <w:tcPr>
            <w:tcW w:w="2720" w:type="dxa"/>
            <w:tcBorders>
              <w:left w:val="single" w:sz="4" w:space="0" w:color="auto"/>
              <w:right w:val="single" w:sz="4" w:space="0" w:color="auto"/>
            </w:tcBorders>
            <w:noWrap/>
            <w:hideMark/>
          </w:tcPr>
          <w:p w14:paraId="03C95D6F"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Pyruvic acid</w:t>
            </w:r>
          </w:p>
        </w:tc>
        <w:tc>
          <w:tcPr>
            <w:tcW w:w="1396" w:type="dxa"/>
            <w:tcBorders>
              <w:left w:val="single" w:sz="4" w:space="0" w:color="auto"/>
            </w:tcBorders>
            <w:noWrap/>
            <w:hideMark/>
          </w:tcPr>
          <w:p w14:paraId="5F12201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1.18</w:t>
            </w:r>
          </w:p>
        </w:tc>
        <w:tc>
          <w:tcPr>
            <w:tcW w:w="1397" w:type="dxa"/>
            <w:tcBorders>
              <w:right w:val="single" w:sz="4" w:space="0" w:color="auto"/>
            </w:tcBorders>
            <w:noWrap/>
            <w:hideMark/>
          </w:tcPr>
          <w:p w14:paraId="55654DF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0.60</w:t>
            </w:r>
          </w:p>
        </w:tc>
        <w:tc>
          <w:tcPr>
            <w:tcW w:w="1396" w:type="dxa"/>
            <w:tcBorders>
              <w:left w:val="single" w:sz="4" w:space="0" w:color="auto"/>
            </w:tcBorders>
            <w:noWrap/>
            <w:hideMark/>
          </w:tcPr>
          <w:p w14:paraId="2A6C1CF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0.74</w:t>
            </w:r>
          </w:p>
        </w:tc>
        <w:tc>
          <w:tcPr>
            <w:tcW w:w="1397" w:type="dxa"/>
            <w:tcBorders>
              <w:right w:val="single" w:sz="4" w:space="0" w:color="auto"/>
            </w:tcBorders>
            <w:noWrap/>
            <w:hideMark/>
          </w:tcPr>
          <w:p w14:paraId="10A0510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0.22</w:t>
            </w:r>
          </w:p>
        </w:tc>
        <w:tc>
          <w:tcPr>
            <w:tcW w:w="1396" w:type="dxa"/>
            <w:tcBorders>
              <w:left w:val="single" w:sz="4" w:space="0" w:color="auto"/>
            </w:tcBorders>
            <w:noWrap/>
            <w:hideMark/>
          </w:tcPr>
          <w:p w14:paraId="71523C5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0.92</w:t>
            </w:r>
          </w:p>
        </w:tc>
        <w:tc>
          <w:tcPr>
            <w:tcW w:w="1397" w:type="dxa"/>
            <w:tcBorders>
              <w:right w:val="single" w:sz="4" w:space="0" w:color="auto"/>
            </w:tcBorders>
            <w:noWrap/>
            <w:hideMark/>
          </w:tcPr>
          <w:p w14:paraId="7AE176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0.61</w:t>
            </w:r>
          </w:p>
        </w:tc>
        <w:tc>
          <w:tcPr>
            <w:tcW w:w="1396" w:type="dxa"/>
            <w:tcBorders>
              <w:left w:val="single" w:sz="4" w:space="0" w:color="auto"/>
            </w:tcBorders>
            <w:noWrap/>
            <w:hideMark/>
          </w:tcPr>
          <w:p w14:paraId="36805CF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1.92</w:t>
            </w:r>
          </w:p>
        </w:tc>
        <w:tc>
          <w:tcPr>
            <w:tcW w:w="1397" w:type="dxa"/>
            <w:tcBorders>
              <w:right w:val="single" w:sz="4" w:space="0" w:color="auto"/>
            </w:tcBorders>
            <w:noWrap/>
            <w:hideMark/>
          </w:tcPr>
          <w:p w14:paraId="757B52D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1.43</w:t>
            </w:r>
          </w:p>
        </w:tc>
      </w:tr>
      <w:tr w:rsidR="001B1C94" w:rsidRPr="00506DDA" w14:paraId="02B727C0" w14:textId="77777777" w:rsidTr="00976B6E">
        <w:trPr>
          <w:trHeight w:val="300"/>
        </w:trPr>
        <w:tc>
          <w:tcPr>
            <w:tcW w:w="2720" w:type="dxa"/>
            <w:tcBorders>
              <w:left w:val="single" w:sz="4" w:space="0" w:color="auto"/>
              <w:right w:val="single" w:sz="4" w:space="0" w:color="auto"/>
            </w:tcBorders>
            <w:noWrap/>
            <w:hideMark/>
          </w:tcPr>
          <w:p w14:paraId="40FB651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Succinic acid</w:t>
            </w:r>
          </w:p>
        </w:tc>
        <w:tc>
          <w:tcPr>
            <w:tcW w:w="1396" w:type="dxa"/>
            <w:tcBorders>
              <w:left w:val="single" w:sz="4" w:space="0" w:color="auto"/>
            </w:tcBorders>
            <w:noWrap/>
            <w:hideMark/>
          </w:tcPr>
          <w:p w14:paraId="0762545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0.72</w:t>
            </w:r>
          </w:p>
        </w:tc>
        <w:tc>
          <w:tcPr>
            <w:tcW w:w="1397" w:type="dxa"/>
            <w:tcBorders>
              <w:right w:val="single" w:sz="4" w:space="0" w:color="auto"/>
            </w:tcBorders>
            <w:noWrap/>
            <w:hideMark/>
          </w:tcPr>
          <w:p w14:paraId="624A426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0.25</w:t>
            </w:r>
          </w:p>
        </w:tc>
        <w:tc>
          <w:tcPr>
            <w:tcW w:w="1396" w:type="dxa"/>
            <w:tcBorders>
              <w:left w:val="single" w:sz="4" w:space="0" w:color="auto"/>
            </w:tcBorders>
            <w:noWrap/>
            <w:hideMark/>
          </w:tcPr>
          <w:p w14:paraId="55E351F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0.47</w:t>
            </w:r>
          </w:p>
        </w:tc>
        <w:tc>
          <w:tcPr>
            <w:tcW w:w="1397" w:type="dxa"/>
            <w:tcBorders>
              <w:right w:val="single" w:sz="4" w:space="0" w:color="auto"/>
            </w:tcBorders>
            <w:noWrap/>
            <w:hideMark/>
          </w:tcPr>
          <w:p w14:paraId="0CCC996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0.12</w:t>
            </w:r>
          </w:p>
        </w:tc>
        <w:tc>
          <w:tcPr>
            <w:tcW w:w="1396" w:type="dxa"/>
            <w:tcBorders>
              <w:left w:val="single" w:sz="4" w:space="0" w:color="auto"/>
            </w:tcBorders>
            <w:noWrap/>
            <w:hideMark/>
          </w:tcPr>
          <w:p w14:paraId="20258CAA"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0.84</w:t>
            </w:r>
            <w:r w:rsidRPr="007B4FB0">
              <w:rPr>
                <w:rFonts w:ascii="Calibri" w:hAnsi="Calibri" w:cs="Calibri"/>
                <w:b/>
                <w:color w:val="000000"/>
                <w:lang w:eastAsia="en-IE"/>
              </w:rPr>
              <w:t>*</w:t>
            </w:r>
          </w:p>
        </w:tc>
        <w:tc>
          <w:tcPr>
            <w:tcW w:w="1397" w:type="dxa"/>
            <w:tcBorders>
              <w:right w:val="single" w:sz="4" w:space="0" w:color="auto"/>
            </w:tcBorders>
            <w:noWrap/>
            <w:hideMark/>
          </w:tcPr>
          <w:p w14:paraId="5B92087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0.43</w:t>
            </w:r>
          </w:p>
        </w:tc>
        <w:tc>
          <w:tcPr>
            <w:tcW w:w="1396" w:type="dxa"/>
            <w:tcBorders>
              <w:left w:val="single" w:sz="4" w:space="0" w:color="auto"/>
            </w:tcBorders>
            <w:noWrap/>
            <w:hideMark/>
          </w:tcPr>
          <w:p w14:paraId="0C5C55C4"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0.75</w:t>
            </w:r>
            <w:r w:rsidRPr="007B4FB0">
              <w:rPr>
                <w:rFonts w:ascii="Calibri" w:hAnsi="Calibri" w:cs="Calibri"/>
                <w:b/>
                <w:color w:val="000000"/>
                <w:lang w:eastAsia="en-IE"/>
              </w:rPr>
              <w:t>*</w:t>
            </w:r>
          </w:p>
        </w:tc>
        <w:tc>
          <w:tcPr>
            <w:tcW w:w="1397" w:type="dxa"/>
            <w:tcBorders>
              <w:right w:val="single" w:sz="4" w:space="0" w:color="auto"/>
            </w:tcBorders>
            <w:noWrap/>
            <w:hideMark/>
          </w:tcPr>
          <w:p w14:paraId="4D52F61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0.25</w:t>
            </w:r>
          </w:p>
        </w:tc>
      </w:tr>
      <w:tr w:rsidR="001B1C94" w:rsidRPr="00506DDA" w14:paraId="6FE2E863" w14:textId="77777777" w:rsidTr="00976B6E">
        <w:trPr>
          <w:trHeight w:val="300"/>
        </w:trPr>
        <w:tc>
          <w:tcPr>
            <w:tcW w:w="2720" w:type="dxa"/>
            <w:tcBorders>
              <w:left w:val="single" w:sz="4" w:space="0" w:color="auto"/>
              <w:right w:val="single" w:sz="4" w:space="0" w:color="auto"/>
            </w:tcBorders>
            <w:noWrap/>
            <w:hideMark/>
          </w:tcPr>
          <w:p w14:paraId="477C92FE"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Fumaric acid</w:t>
            </w:r>
          </w:p>
        </w:tc>
        <w:tc>
          <w:tcPr>
            <w:tcW w:w="1396" w:type="dxa"/>
            <w:tcBorders>
              <w:left w:val="single" w:sz="4" w:space="0" w:color="auto"/>
            </w:tcBorders>
            <w:noWrap/>
            <w:hideMark/>
          </w:tcPr>
          <w:p w14:paraId="111FF47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11F3449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3C9A2A65"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0.04</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0159359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566AA87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54CDD4A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77647797"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0.06</w:t>
            </w:r>
            <w:r w:rsidRPr="007B4FB0">
              <w:rPr>
                <w:rFonts w:ascii="Calibri" w:hAnsi="Calibri" w:cs="Calibri"/>
                <w:b/>
                <w:color w:val="000000"/>
                <w:lang w:eastAsia="en-IE"/>
              </w:rPr>
              <w:t>*</w:t>
            </w:r>
          </w:p>
        </w:tc>
        <w:tc>
          <w:tcPr>
            <w:tcW w:w="1397" w:type="dxa"/>
            <w:tcBorders>
              <w:right w:val="single" w:sz="4" w:space="0" w:color="auto"/>
            </w:tcBorders>
            <w:noWrap/>
            <w:hideMark/>
          </w:tcPr>
          <w:p w14:paraId="644CC30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r>
      <w:tr w:rsidR="001B1C94" w:rsidRPr="00506DDA" w14:paraId="2AC83C7B" w14:textId="77777777" w:rsidTr="00976B6E">
        <w:trPr>
          <w:trHeight w:val="300"/>
        </w:trPr>
        <w:tc>
          <w:tcPr>
            <w:tcW w:w="2720" w:type="dxa"/>
            <w:tcBorders>
              <w:left w:val="single" w:sz="4" w:space="0" w:color="auto"/>
              <w:right w:val="single" w:sz="4" w:space="0" w:color="auto"/>
            </w:tcBorders>
            <w:noWrap/>
            <w:hideMark/>
          </w:tcPr>
          <w:p w14:paraId="6EFA200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lastRenderedPageBreak/>
              <w:t>Lactic acid</w:t>
            </w:r>
          </w:p>
        </w:tc>
        <w:tc>
          <w:tcPr>
            <w:tcW w:w="1396" w:type="dxa"/>
            <w:tcBorders>
              <w:left w:val="single" w:sz="4" w:space="0" w:color="auto"/>
            </w:tcBorders>
            <w:noWrap/>
            <w:hideMark/>
          </w:tcPr>
          <w:p w14:paraId="0CAC061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0.99</w:t>
            </w:r>
          </w:p>
        </w:tc>
        <w:tc>
          <w:tcPr>
            <w:tcW w:w="1397" w:type="dxa"/>
            <w:tcBorders>
              <w:right w:val="single" w:sz="4" w:space="0" w:color="auto"/>
            </w:tcBorders>
            <w:noWrap/>
            <w:hideMark/>
          </w:tcPr>
          <w:p w14:paraId="3E7152F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0.83</w:t>
            </w:r>
          </w:p>
        </w:tc>
        <w:tc>
          <w:tcPr>
            <w:tcW w:w="1396" w:type="dxa"/>
            <w:tcBorders>
              <w:left w:val="single" w:sz="4" w:space="0" w:color="auto"/>
            </w:tcBorders>
            <w:noWrap/>
            <w:hideMark/>
          </w:tcPr>
          <w:p w14:paraId="1C891F6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1.41</w:t>
            </w:r>
          </w:p>
        </w:tc>
        <w:tc>
          <w:tcPr>
            <w:tcW w:w="1397" w:type="dxa"/>
            <w:tcBorders>
              <w:right w:val="single" w:sz="4" w:space="0" w:color="auto"/>
            </w:tcBorders>
            <w:noWrap/>
            <w:hideMark/>
          </w:tcPr>
          <w:p w14:paraId="5385AE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1.25</w:t>
            </w:r>
          </w:p>
        </w:tc>
        <w:tc>
          <w:tcPr>
            <w:tcW w:w="1396" w:type="dxa"/>
            <w:tcBorders>
              <w:left w:val="single" w:sz="4" w:space="0" w:color="auto"/>
            </w:tcBorders>
            <w:noWrap/>
            <w:hideMark/>
          </w:tcPr>
          <w:p w14:paraId="4A944FA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3.60</w:t>
            </w:r>
          </w:p>
        </w:tc>
        <w:tc>
          <w:tcPr>
            <w:tcW w:w="1397" w:type="dxa"/>
            <w:tcBorders>
              <w:right w:val="single" w:sz="4" w:space="0" w:color="auto"/>
            </w:tcBorders>
            <w:noWrap/>
            <w:hideMark/>
          </w:tcPr>
          <w:p w14:paraId="36C185A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2.60</w:t>
            </w:r>
          </w:p>
        </w:tc>
        <w:tc>
          <w:tcPr>
            <w:tcW w:w="1396" w:type="dxa"/>
            <w:tcBorders>
              <w:left w:val="single" w:sz="4" w:space="0" w:color="auto"/>
            </w:tcBorders>
            <w:noWrap/>
            <w:hideMark/>
          </w:tcPr>
          <w:p w14:paraId="393211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1.24</w:t>
            </w:r>
          </w:p>
        </w:tc>
        <w:tc>
          <w:tcPr>
            <w:tcW w:w="1397" w:type="dxa"/>
            <w:tcBorders>
              <w:right w:val="single" w:sz="4" w:space="0" w:color="auto"/>
            </w:tcBorders>
            <w:noWrap/>
            <w:hideMark/>
          </w:tcPr>
          <w:p w14:paraId="50E6369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0.70</w:t>
            </w:r>
          </w:p>
        </w:tc>
      </w:tr>
      <w:tr w:rsidR="001B1C94" w:rsidRPr="00506DDA" w14:paraId="32ADB45E" w14:textId="77777777" w:rsidTr="00976B6E">
        <w:trPr>
          <w:trHeight w:val="300"/>
        </w:trPr>
        <w:tc>
          <w:tcPr>
            <w:tcW w:w="2720" w:type="dxa"/>
            <w:tcBorders>
              <w:left w:val="single" w:sz="4" w:space="0" w:color="auto"/>
              <w:right w:val="single" w:sz="4" w:space="0" w:color="auto"/>
            </w:tcBorders>
            <w:noWrap/>
            <w:hideMark/>
          </w:tcPr>
          <w:p w14:paraId="5EC5126C"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Malic acid</w:t>
            </w:r>
          </w:p>
        </w:tc>
        <w:tc>
          <w:tcPr>
            <w:tcW w:w="1396" w:type="dxa"/>
            <w:tcBorders>
              <w:left w:val="single" w:sz="4" w:space="0" w:color="auto"/>
            </w:tcBorders>
            <w:noWrap/>
            <w:hideMark/>
          </w:tcPr>
          <w:p w14:paraId="4960ADF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0.36</w:t>
            </w:r>
          </w:p>
        </w:tc>
        <w:tc>
          <w:tcPr>
            <w:tcW w:w="1397" w:type="dxa"/>
            <w:tcBorders>
              <w:right w:val="single" w:sz="4" w:space="0" w:color="auto"/>
            </w:tcBorders>
            <w:noWrap/>
            <w:hideMark/>
          </w:tcPr>
          <w:p w14:paraId="1CFF032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7E288C89"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0.26</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74A46BC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6" w:type="dxa"/>
            <w:tcBorders>
              <w:left w:val="single" w:sz="4" w:space="0" w:color="auto"/>
            </w:tcBorders>
            <w:noWrap/>
            <w:hideMark/>
          </w:tcPr>
          <w:p w14:paraId="62C70BC1"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0.34</w:t>
            </w:r>
            <w:r w:rsidRPr="007B4FB0">
              <w:rPr>
                <w:rFonts w:ascii="Calibri" w:hAnsi="Calibri" w:cs="Calibri"/>
                <w:b/>
                <w:color w:val="000000"/>
                <w:lang w:eastAsia="en-IE"/>
              </w:rPr>
              <w:t>*</w:t>
            </w:r>
          </w:p>
        </w:tc>
        <w:tc>
          <w:tcPr>
            <w:tcW w:w="1397" w:type="dxa"/>
            <w:tcBorders>
              <w:right w:val="single" w:sz="4" w:space="0" w:color="auto"/>
            </w:tcBorders>
            <w:noWrap/>
            <w:hideMark/>
          </w:tcPr>
          <w:p w14:paraId="091AC4F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6302965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0.46</w:t>
            </w:r>
          </w:p>
        </w:tc>
        <w:tc>
          <w:tcPr>
            <w:tcW w:w="1397" w:type="dxa"/>
            <w:tcBorders>
              <w:right w:val="single" w:sz="4" w:space="0" w:color="auto"/>
            </w:tcBorders>
            <w:noWrap/>
            <w:hideMark/>
          </w:tcPr>
          <w:p w14:paraId="754D547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0.18</w:t>
            </w:r>
          </w:p>
        </w:tc>
      </w:tr>
      <w:tr w:rsidR="001B1C94" w:rsidRPr="00506DDA" w14:paraId="411365D6" w14:textId="77777777" w:rsidTr="00976B6E">
        <w:trPr>
          <w:trHeight w:val="300"/>
        </w:trPr>
        <w:tc>
          <w:tcPr>
            <w:tcW w:w="2720" w:type="dxa"/>
            <w:tcBorders>
              <w:left w:val="single" w:sz="4" w:space="0" w:color="auto"/>
              <w:right w:val="single" w:sz="4" w:space="0" w:color="auto"/>
            </w:tcBorders>
            <w:noWrap/>
            <w:hideMark/>
          </w:tcPr>
          <w:p w14:paraId="4CED45E7"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2-oxoglutarate</w:t>
            </w:r>
          </w:p>
        </w:tc>
        <w:tc>
          <w:tcPr>
            <w:tcW w:w="1396" w:type="dxa"/>
            <w:tcBorders>
              <w:left w:val="single" w:sz="4" w:space="0" w:color="auto"/>
            </w:tcBorders>
            <w:noWrap/>
            <w:hideMark/>
          </w:tcPr>
          <w:p w14:paraId="459F7AE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0.45</w:t>
            </w:r>
          </w:p>
        </w:tc>
        <w:tc>
          <w:tcPr>
            <w:tcW w:w="1397" w:type="dxa"/>
            <w:tcBorders>
              <w:right w:val="single" w:sz="4" w:space="0" w:color="auto"/>
            </w:tcBorders>
            <w:noWrap/>
            <w:hideMark/>
          </w:tcPr>
          <w:p w14:paraId="123A841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0.28</w:t>
            </w:r>
          </w:p>
        </w:tc>
        <w:tc>
          <w:tcPr>
            <w:tcW w:w="1396" w:type="dxa"/>
            <w:tcBorders>
              <w:left w:val="single" w:sz="4" w:space="0" w:color="auto"/>
            </w:tcBorders>
            <w:noWrap/>
            <w:hideMark/>
          </w:tcPr>
          <w:p w14:paraId="69E9A16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0.27</w:t>
            </w:r>
          </w:p>
        </w:tc>
        <w:tc>
          <w:tcPr>
            <w:tcW w:w="1397" w:type="dxa"/>
            <w:tcBorders>
              <w:right w:val="single" w:sz="4" w:space="0" w:color="auto"/>
            </w:tcBorders>
            <w:noWrap/>
            <w:hideMark/>
          </w:tcPr>
          <w:p w14:paraId="42E281E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6" w:type="dxa"/>
            <w:tcBorders>
              <w:left w:val="single" w:sz="4" w:space="0" w:color="auto"/>
            </w:tcBorders>
            <w:noWrap/>
            <w:hideMark/>
          </w:tcPr>
          <w:p w14:paraId="069D5F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7" w:type="dxa"/>
            <w:tcBorders>
              <w:right w:val="single" w:sz="4" w:space="0" w:color="auto"/>
            </w:tcBorders>
            <w:noWrap/>
            <w:hideMark/>
          </w:tcPr>
          <w:p w14:paraId="5E71AEE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0.24</w:t>
            </w:r>
          </w:p>
        </w:tc>
        <w:tc>
          <w:tcPr>
            <w:tcW w:w="1396" w:type="dxa"/>
            <w:tcBorders>
              <w:left w:val="single" w:sz="4" w:space="0" w:color="auto"/>
            </w:tcBorders>
            <w:noWrap/>
            <w:hideMark/>
          </w:tcPr>
          <w:p w14:paraId="4A50269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0.72</w:t>
            </w:r>
          </w:p>
        </w:tc>
        <w:tc>
          <w:tcPr>
            <w:tcW w:w="1397" w:type="dxa"/>
            <w:tcBorders>
              <w:right w:val="single" w:sz="4" w:space="0" w:color="auto"/>
            </w:tcBorders>
            <w:noWrap/>
            <w:hideMark/>
          </w:tcPr>
          <w:p w14:paraId="7FE64C8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1.02</w:t>
            </w:r>
          </w:p>
        </w:tc>
      </w:tr>
      <w:tr w:rsidR="001B1C94" w:rsidRPr="00506DDA" w14:paraId="7B193CB8" w14:textId="77777777" w:rsidTr="00976B6E">
        <w:trPr>
          <w:trHeight w:val="300"/>
        </w:trPr>
        <w:tc>
          <w:tcPr>
            <w:tcW w:w="2720" w:type="dxa"/>
            <w:tcBorders>
              <w:left w:val="single" w:sz="4" w:space="0" w:color="auto"/>
              <w:right w:val="single" w:sz="4" w:space="0" w:color="auto"/>
            </w:tcBorders>
            <w:noWrap/>
            <w:hideMark/>
          </w:tcPr>
          <w:p w14:paraId="2036879B"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Isocitric acid</w:t>
            </w:r>
          </w:p>
        </w:tc>
        <w:tc>
          <w:tcPr>
            <w:tcW w:w="1396" w:type="dxa"/>
            <w:tcBorders>
              <w:left w:val="single" w:sz="4" w:space="0" w:color="auto"/>
            </w:tcBorders>
            <w:noWrap/>
            <w:hideMark/>
          </w:tcPr>
          <w:p w14:paraId="66FCF60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7" w:type="dxa"/>
            <w:tcBorders>
              <w:right w:val="single" w:sz="4" w:space="0" w:color="auto"/>
            </w:tcBorders>
            <w:noWrap/>
            <w:hideMark/>
          </w:tcPr>
          <w:p w14:paraId="1176AD7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c>
          <w:tcPr>
            <w:tcW w:w="1396" w:type="dxa"/>
            <w:tcBorders>
              <w:left w:val="single" w:sz="4" w:space="0" w:color="auto"/>
            </w:tcBorders>
            <w:noWrap/>
            <w:hideMark/>
          </w:tcPr>
          <w:p w14:paraId="10E9F9B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7" w:type="dxa"/>
            <w:tcBorders>
              <w:right w:val="single" w:sz="4" w:space="0" w:color="auto"/>
            </w:tcBorders>
            <w:noWrap/>
            <w:hideMark/>
          </w:tcPr>
          <w:p w14:paraId="7B1E880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c>
          <w:tcPr>
            <w:tcW w:w="1396" w:type="dxa"/>
            <w:tcBorders>
              <w:left w:val="single" w:sz="4" w:space="0" w:color="auto"/>
            </w:tcBorders>
            <w:noWrap/>
            <w:hideMark/>
          </w:tcPr>
          <w:p w14:paraId="5D55292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7" w:type="dxa"/>
            <w:tcBorders>
              <w:right w:val="single" w:sz="4" w:space="0" w:color="auto"/>
            </w:tcBorders>
            <w:noWrap/>
            <w:hideMark/>
          </w:tcPr>
          <w:p w14:paraId="271837B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c>
          <w:tcPr>
            <w:tcW w:w="1396" w:type="dxa"/>
            <w:tcBorders>
              <w:left w:val="single" w:sz="4" w:space="0" w:color="auto"/>
            </w:tcBorders>
            <w:noWrap/>
            <w:hideMark/>
          </w:tcPr>
          <w:p w14:paraId="671D9DE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7" w:type="dxa"/>
            <w:tcBorders>
              <w:right w:val="single" w:sz="4" w:space="0" w:color="auto"/>
            </w:tcBorders>
            <w:noWrap/>
            <w:hideMark/>
          </w:tcPr>
          <w:p w14:paraId="763F728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r>
      <w:tr w:rsidR="001B1C94" w:rsidRPr="00506DDA" w14:paraId="264D2B63" w14:textId="77777777" w:rsidTr="00976B6E">
        <w:trPr>
          <w:trHeight w:val="300"/>
        </w:trPr>
        <w:tc>
          <w:tcPr>
            <w:tcW w:w="2720" w:type="dxa"/>
            <w:tcBorders>
              <w:left w:val="single" w:sz="4" w:space="0" w:color="auto"/>
              <w:right w:val="single" w:sz="4" w:space="0" w:color="auto"/>
            </w:tcBorders>
            <w:noWrap/>
            <w:hideMark/>
          </w:tcPr>
          <w:p w14:paraId="123B47F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Citric acid</w:t>
            </w:r>
          </w:p>
        </w:tc>
        <w:tc>
          <w:tcPr>
            <w:tcW w:w="1396" w:type="dxa"/>
            <w:tcBorders>
              <w:left w:val="single" w:sz="4" w:space="0" w:color="auto"/>
            </w:tcBorders>
            <w:noWrap/>
            <w:hideMark/>
          </w:tcPr>
          <w:p w14:paraId="0744C8F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74DD82D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70F16245"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0.04</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7753EE1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69E2FB3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7" w:type="dxa"/>
            <w:tcBorders>
              <w:right w:val="single" w:sz="4" w:space="0" w:color="auto"/>
            </w:tcBorders>
            <w:noWrap/>
            <w:hideMark/>
          </w:tcPr>
          <w:p w14:paraId="43CD6D9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3AF1FB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7" w:type="dxa"/>
            <w:tcBorders>
              <w:right w:val="single" w:sz="4" w:space="0" w:color="auto"/>
            </w:tcBorders>
            <w:noWrap/>
            <w:hideMark/>
          </w:tcPr>
          <w:p w14:paraId="703E6F9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r>
      <w:tr w:rsidR="001B1C94" w:rsidRPr="00506DDA" w14:paraId="40DA3635" w14:textId="77777777" w:rsidTr="00976B6E">
        <w:trPr>
          <w:trHeight w:val="300"/>
        </w:trPr>
        <w:tc>
          <w:tcPr>
            <w:tcW w:w="2720" w:type="dxa"/>
            <w:tcBorders>
              <w:left w:val="single" w:sz="4" w:space="0" w:color="auto"/>
              <w:right w:val="single" w:sz="4" w:space="0" w:color="auto"/>
            </w:tcBorders>
            <w:noWrap/>
            <w:hideMark/>
          </w:tcPr>
          <w:p w14:paraId="79863BEB"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Octanoic acid (C8:0)</w:t>
            </w:r>
          </w:p>
        </w:tc>
        <w:tc>
          <w:tcPr>
            <w:tcW w:w="1396" w:type="dxa"/>
            <w:tcBorders>
              <w:left w:val="single" w:sz="4" w:space="0" w:color="auto"/>
            </w:tcBorders>
            <w:noWrap/>
            <w:hideMark/>
          </w:tcPr>
          <w:p w14:paraId="2DB5A71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1.18</w:t>
            </w:r>
          </w:p>
        </w:tc>
        <w:tc>
          <w:tcPr>
            <w:tcW w:w="1397" w:type="dxa"/>
            <w:tcBorders>
              <w:right w:val="single" w:sz="4" w:space="0" w:color="auto"/>
            </w:tcBorders>
            <w:noWrap/>
            <w:hideMark/>
          </w:tcPr>
          <w:p w14:paraId="2CD8465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0.32</w:t>
            </w:r>
          </w:p>
        </w:tc>
        <w:tc>
          <w:tcPr>
            <w:tcW w:w="1396" w:type="dxa"/>
            <w:tcBorders>
              <w:left w:val="single" w:sz="4" w:space="0" w:color="auto"/>
            </w:tcBorders>
            <w:noWrap/>
            <w:hideMark/>
          </w:tcPr>
          <w:p w14:paraId="000E824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1.08</w:t>
            </w:r>
          </w:p>
        </w:tc>
        <w:tc>
          <w:tcPr>
            <w:tcW w:w="1397" w:type="dxa"/>
            <w:tcBorders>
              <w:right w:val="single" w:sz="4" w:space="0" w:color="auto"/>
            </w:tcBorders>
            <w:noWrap/>
            <w:hideMark/>
          </w:tcPr>
          <w:p w14:paraId="47A859A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0.37</w:t>
            </w:r>
          </w:p>
        </w:tc>
        <w:tc>
          <w:tcPr>
            <w:tcW w:w="1396" w:type="dxa"/>
            <w:tcBorders>
              <w:left w:val="single" w:sz="4" w:space="0" w:color="auto"/>
            </w:tcBorders>
            <w:noWrap/>
            <w:hideMark/>
          </w:tcPr>
          <w:p w14:paraId="2084F5B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1.34</w:t>
            </w:r>
          </w:p>
        </w:tc>
        <w:tc>
          <w:tcPr>
            <w:tcW w:w="1397" w:type="dxa"/>
            <w:tcBorders>
              <w:right w:val="single" w:sz="4" w:space="0" w:color="auto"/>
            </w:tcBorders>
            <w:noWrap/>
            <w:hideMark/>
          </w:tcPr>
          <w:p w14:paraId="27D2AFD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0.31</w:t>
            </w:r>
          </w:p>
        </w:tc>
        <w:tc>
          <w:tcPr>
            <w:tcW w:w="1396" w:type="dxa"/>
            <w:tcBorders>
              <w:left w:val="single" w:sz="4" w:space="0" w:color="auto"/>
            </w:tcBorders>
            <w:noWrap/>
            <w:hideMark/>
          </w:tcPr>
          <w:p w14:paraId="58AFABF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1.45</w:t>
            </w:r>
          </w:p>
        </w:tc>
        <w:tc>
          <w:tcPr>
            <w:tcW w:w="1397" w:type="dxa"/>
            <w:tcBorders>
              <w:right w:val="single" w:sz="4" w:space="0" w:color="auto"/>
            </w:tcBorders>
            <w:noWrap/>
            <w:hideMark/>
          </w:tcPr>
          <w:p w14:paraId="6664B75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0.51</w:t>
            </w:r>
          </w:p>
        </w:tc>
      </w:tr>
      <w:tr w:rsidR="001B1C94" w:rsidRPr="00506DDA" w14:paraId="25A10F1C" w14:textId="77777777" w:rsidTr="00976B6E">
        <w:trPr>
          <w:trHeight w:val="300"/>
        </w:trPr>
        <w:tc>
          <w:tcPr>
            <w:tcW w:w="2720" w:type="dxa"/>
            <w:tcBorders>
              <w:left w:val="single" w:sz="4" w:space="0" w:color="auto"/>
              <w:right w:val="single" w:sz="4" w:space="0" w:color="auto"/>
            </w:tcBorders>
            <w:noWrap/>
            <w:hideMark/>
          </w:tcPr>
          <w:p w14:paraId="0E5E728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Nonanoic acid (C9:0)</w:t>
            </w:r>
          </w:p>
        </w:tc>
        <w:tc>
          <w:tcPr>
            <w:tcW w:w="1396" w:type="dxa"/>
            <w:tcBorders>
              <w:left w:val="single" w:sz="4" w:space="0" w:color="auto"/>
            </w:tcBorders>
            <w:noWrap/>
            <w:hideMark/>
          </w:tcPr>
          <w:p w14:paraId="585CBF1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1.13</w:t>
            </w:r>
          </w:p>
        </w:tc>
        <w:tc>
          <w:tcPr>
            <w:tcW w:w="1397" w:type="dxa"/>
            <w:tcBorders>
              <w:right w:val="single" w:sz="4" w:space="0" w:color="auto"/>
            </w:tcBorders>
            <w:noWrap/>
            <w:hideMark/>
          </w:tcPr>
          <w:p w14:paraId="791BE6F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0.36</w:t>
            </w:r>
          </w:p>
        </w:tc>
        <w:tc>
          <w:tcPr>
            <w:tcW w:w="1396" w:type="dxa"/>
            <w:tcBorders>
              <w:left w:val="single" w:sz="4" w:space="0" w:color="auto"/>
            </w:tcBorders>
            <w:noWrap/>
            <w:hideMark/>
          </w:tcPr>
          <w:p w14:paraId="3E77829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1.33</w:t>
            </w:r>
          </w:p>
        </w:tc>
        <w:tc>
          <w:tcPr>
            <w:tcW w:w="1397" w:type="dxa"/>
            <w:tcBorders>
              <w:right w:val="single" w:sz="4" w:space="0" w:color="auto"/>
            </w:tcBorders>
            <w:noWrap/>
            <w:hideMark/>
          </w:tcPr>
          <w:p w14:paraId="09DAC3F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0.52</w:t>
            </w:r>
          </w:p>
        </w:tc>
        <w:tc>
          <w:tcPr>
            <w:tcW w:w="1396" w:type="dxa"/>
            <w:tcBorders>
              <w:left w:val="single" w:sz="4" w:space="0" w:color="auto"/>
            </w:tcBorders>
            <w:noWrap/>
            <w:hideMark/>
          </w:tcPr>
          <w:p w14:paraId="289B8E2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1.40</w:t>
            </w:r>
          </w:p>
        </w:tc>
        <w:tc>
          <w:tcPr>
            <w:tcW w:w="1397" w:type="dxa"/>
            <w:tcBorders>
              <w:right w:val="single" w:sz="4" w:space="0" w:color="auto"/>
            </w:tcBorders>
            <w:noWrap/>
            <w:hideMark/>
          </w:tcPr>
          <w:p w14:paraId="72AA32D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0.30</w:t>
            </w:r>
          </w:p>
        </w:tc>
        <w:tc>
          <w:tcPr>
            <w:tcW w:w="1396" w:type="dxa"/>
            <w:tcBorders>
              <w:left w:val="single" w:sz="4" w:space="0" w:color="auto"/>
            </w:tcBorders>
            <w:noWrap/>
            <w:hideMark/>
          </w:tcPr>
          <w:p w14:paraId="066CF11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1.59</w:t>
            </w:r>
          </w:p>
        </w:tc>
        <w:tc>
          <w:tcPr>
            <w:tcW w:w="1397" w:type="dxa"/>
            <w:tcBorders>
              <w:right w:val="single" w:sz="4" w:space="0" w:color="auto"/>
            </w:tcBorders>
            <w:noWrap/>
            <w:hideMark/>
          </w:tcPr>
          <w:p w14:paraId="1C69E5C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0.51</w:t>
            </w:r>
          </w:p>
        </w:tc>
      </w:tr>
      <w:tr w:rsidR="001B1C94" w:rsidRPr="00506DDA" w14:paraId="3A7E2AE1" w14:textId="77777777" w:rsidTr="00976B6E">
        <w:trPr>
          <w:trHeight w:val="300"/>
        </w:trPr>
        <w:tc>
          <w:tcPr>
            <w:tcW w:w="2720" w:type="dxa"/>
            <w:tcBorders>
              <w:left w:val="single" w:sz="4" w:space="0" w:color="auto"/>
              <w:right w:val="single" w:sz="4" w:space="0" w:color="auto"/>
            </w:tcBorders>
            <w:noWrap/>
            <w:hideMark/>
          </w:tcPr>
          <w:p w14:paraId="2ECD7CC4"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Malonic acid</w:t>
            </w:r>
          </w:p>
        </w:tc>
        <w:tc>
          <w:tcPr>
            <w:tcW w:w="1396" w:type="dxa"/>
            <w:tcBorders>
              <w:left w:val="single" w:sz="4" w:space="0" w:color="auto"/>
            </w:tcBorders>
            <w:noWrap/>
            <w:hideMark/>
          </w:tcPr>
          <w:p w14:paraId="1C382BA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0.91</w:t>
            </w:r>
          </w:p>
        </w:tc>
        <w:tc>
          <w:tcPr>
            <w:tcW w:w="1397" w:type="dxa"/>
            <w:tcBorders>
              <w:right w:val="single" w:sz="4" w:space="0" w:color="auto"/>
            </w:tcBorders>
            <w:noWrap/>
            <w:hideMark/>
          </w:tcPr>
          <w:p w14:paraId="31EF148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6" w:type="dxa"/>
            <w:tcBorders>
              <w:left w:val="single" w:sz="4" w:space="0" w:color="auto"/>
            </w:tcBorders>
            <w:noWrap/>
            <w:hideMark/>
          </w:tcPr>
          <w:p w14:paraId="3BF2A894"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0.74</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6739F81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6" w:type="dxa"/>
            <w:tcBorders>
              <w:left w:val="single" w:sz="4" w:space="0" w:color="auto"/>
            </w:tcBorders>
            <w:noWrap/>
            <w:hideMark/>
          </w:tcPr>
          <w:p w14:paraId="35EEE79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0.84</w:t>
            </w:r>
          </w:p>
        </w:tc>
        <w:tc>
          <w:tcPr>
            <w:tcW w:w="1397" w:type="dxa"/>
            <w:tcBorders>
              <w:right w:val="single" w:sz="4" w:space="0" w:color="auto"/>
            </w:tcBorders>
            <w:noWrap/>
            <w:hideMark/>
          </w:tcPr>
          <w:p w14:paraId="29375AE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6" w:type="dxa"/>
            <w:tcBorders>
              <w:left w:val="single" w:sz="4" w:space="0" w:color="auto"/>
            </w:tcBorders>
            <w:noWrap/>
            <w:hideMark/>
          </w:tcPr>
          <w:p w14:paraId="4BA741F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0.90</w:t>
            </w:r>
          </w:p>
        </w:tc>
        <w:tc>
          <w:tcPr>
            <w:tcW w:w="1397" w:type="dxa"/>
            <w:tcBorders>
              <w:right w:val="single" w:sz="4" w:space="0" w:color="auto"/>
            </w:tcBorders>
            <w:noWrap/>
            <w:hideMark/>
          </w:tcPr>
          <w:p w14:paraId="6A9A3F6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0.18</w:t>
            </w:r>
          </w:p>
        </w:tc>
      </w:tr>
      <w:tr w:rsidR="001B1C94" w:rsidRPr="00506DDA" w14:paraId="0FA78721" w14:textId="77777777" w:rsidTr="00976B6E">
        <w:trPr>
          <w:trHeight w:val="300"/>
        </w:trPr>
        <w:tc>
          <w:tcPr>
            <w:tcW w:w="2720" w:type="dxa"/>
            <w:tcBorders>
              <w:left w:val="single" w:sz="4" w:space="0" w:color="auto"/>
              <w:right w:val="single" w:sz="4" w:space="0" w:color="auto"/>
            </w:tcBorders>
            <w:noWrap/>
            <w:hideMark/>
          </w:tcPr>
          <w:p w14:paraId="153FCDE3"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Phenylacetic acid</w:t>
            </w:r>
          </w:p>
        </w:tc>
        <w:tc>
          <w:tcPr>
            <w:tcW w:w="1396" w:type="dxa"/>
            <w:tcBorders>
              <w:left w:val="single" w:sz="4" w:space="0" w:color="auto"/>
            </w:tcBorders>
            <w:noWrap/>
            <w:hideMark/>
          </w:tcPr>
          <w:p w14:paraId="4BCA304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0.95</w:t>
            </w:r>
          </w:p>
        </w:tc>
        <w:tc>
          <w:tcPr>
            <w:tcW w:w="1397" w:type="dxa"/>
            <w:tcBorders>
              <w:right w:val="single" w:sz="4" w:space="0" w:color="auto"/>
            </w:tcBorders>
            <w:noWrap/>
            <w:hideMark/>
          </w:tcPr>
          <w:p w14:paraId="26AA806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0.55</w:t>
            </w:r>
          </w:p>
        </w:tc>
        <w:tc>
          <w:tcPr>
            <w:tcW w:w="1396" w:type="dxa"/>
            <w:tcBorders>
              <w:left w:val="single" w:sz="4" w:space="0" w:color="auto"/>
            </w:tcBorders>
            <w:noWrap/>
            <w:hideMark/>
          </w:tcPr>
          <w:p w14:paraId="760C2E1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0.49</w:t>
            </w:r>
          </w:p>
        </w:tc>
        <w:tc>
          <w:tcPr>
            <w:tcW w:w="1397" w:type="dxa"/>
            <w:tcBorders>
              <w:right w:val="single" w:sz="4" w:space="0" w:color="auto"/>
            </w:tcBorders>
            <w:noWrap/>
            <w:hideMark/>
          </w:tcPr>
          <w:p w14:paraId="4C50A67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c>
          <w:tcPr>
            <w:tcW w:w="1396" w:type="dxa"/>
            <w:tcBorders>
              <w:left w:val="single" w:sz="4" w:space="0" w:color="auto"/>
            </w:tcBorders>
            <w:noWrap/>
            <w:hideMark/>
          </w:tcPr>
          <w:p w14:paraId="4D0FA83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0.52</w:t>
            </w:r>
          </w:p>
        </w:tc>
        <w:tc>
          <w:tcPr>
            <w:tcW w:w="1397" w:type="dxa"/>
            <w:tcBorders>
              <w:right w:val="single" w:sz="4" w:space="0" w:color="auto"/>
            </w:tcBorders>
            <w:noWrap/>
            <w:hideMark/>
          </w:tcPr>
          <w:p w14:paraId="6CB4C5D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6" w:type="dxa"/>
            <w:tcBorders>
              <w:left w:val="single" w:sz="4" w:space="0" w:color="auto"/>
            </w:tcBorders>
            <w:noWrap/>
            <w:hideMark/>
          </w:tcPr>
          <w:p w14:paraId="6E16484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0.80</w:t>
            </w:r>
          </w:p>
        </w:tc>
        <w:tc>
          <w:tcPr>
            <w:tcW w:w="1397" w:type="dxa"/>
            <w:tcBorders>
              <w:right w:val="single" w:sz="4" w:space="0" w:color="auto"/>
            </w:tcBorders>
            <w:noWrap/>
            <w:hideMark/>
          </w:tcPr>
          <w:p w14:paraId="67DFCC2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0.49</w:t>
            </w:r>
          </w:p>
        </w:tc>
      </w:tr>
      <w:tr w:rsidR="001B1C94" w:rsidRPr="00506DDA" w14:paraId="3CDA0AC1" w14:textId="77777777" w:rsidTr="00976B6E">
        <w:trPr>
          <w:trHeight w:val="300"/>
        </w:trPr>
        <w:tc>
          <w:tcPr>
            <w:tcW w:w="2720" w:type="dxa"/>
            <w:tcBorders>
              <w:left w:val="single" w:sz="4" w:space="0" w:color="auto"/>
              <w:bottom w:val="single" w:sz="4" w:space="0" w:color="auto"/>
              <w:right w:val="single" w:sz="4" w:space="0" w:color="auto"/>
            </w:tcBorders>
            <w:noWrap/>
            <w:hideMark/>
          </w:tcPr>
          <w:p w14:paraId="28F7AEBE"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4-Hydroxyphenylacetic acid</w:t>
            </w:r>
          </w:p>
        </w:tc>
        <w:tc>
          <w:tcPr>
            <w:tcW w:w="1396" w:type="dxa"/>
            <w:tcBorders>
              <w:left w:val="single" w:sz="4" w:space="0" w:color="auto"/>
              <w:bottom w:val="single" w:sz="4" w:space="0" w:color="auto"/>
            </w:tcBorders>
            <w:noWrap/>
            <w:hideMark/>
          </w:tcPr>
          <w:p w14:paraId="40F779E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7" w:type="dxa"/>
            <w:tcBorders>
              <w:bottom w:val="single" w:sz="4" w:space="0" w:color="auto"/>
              <w:right w:val="single" w:sz="4" w:space="0" w:color="auto"/>
            </w:tcBorders>
            <w:noWrap/>
            <w:hideMark/>
          </w:tcPr>
          <w:p w14:paraId="710B71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bottom w:val="single" w:sz="4" w:space="0" w:color="auto"/>
            </w:tcBorders>
            <w:noWrap/>
            <w:hideMark/>
          </w:tcPr>
          <w:p w14:paraId="5F1A714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7" w:type="dxa"/>
            <w:tcBorders>
              <w:bottom w:val="single" w:sz="4" w:space="0" w:color="auto"/>
              <w:right w:val="single" w:sz="4" w:space="0" w:color="auto"/>
            </w:tcBorders>
            <w:noWrap/>
            <w:hideMark/>
          </w:tcPr>
          <w:p w14:paraId="1477E77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bottom w:val="single" w:sz="4" w:space="0" w:color="auto"/>
            </w:tcBorders>
            <w:noWrap/>
            <w:hideMark/>
          </w:tcPr>
          <w:p w14:paraId="56F694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7" w:type="dxa"/>
            <w:tcBorders>
              <w:bottom w:val="single" w:sz="4" w:space="0" w:color="auto"/>
              <w:right w:val="single" w:sz="4" w:space="0" w:color="auto"/>
            </w:tcBorders>
            <w:noWrap/>
            <w:hideMark/>
          </w:tcPr>
          <w:p w14:paraId="4CA01A3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bottom w:val="single" w:sz="4" w:space="0" w:color="auto"/>
            </w:tcBorders>
            <w:noWrap/>
            <w:hideMark/>
          </w:tcPr>
          <w:p w14:paraId="351A272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7" w:type="dxa"/>
            <w:tcBorders>
              <w:bottom w:val="single" w:sz="4" w:space="0" w:color="auto"/>
              <w:right w:val="single" w:sz="4" w:space="0" w:color="auto"/>
            </w:tcBorders>
            <w:noWrap/>
            <w:hideMark/>
          </w:tcPr>
          <w:p w14:paraId="475C594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r>
    </w:tbl>
    <w:p w14:paraId="10216500" w14:textId="4D52AA8E" w:rsidR="003519E3" w:rsidRDefault="003519E3" w:rsidP="006679D7"/>
    <w:sectPr w:rsidR="003519E3" w:rsidSect="00F61C0F">
      <w:pgSz w:w="16838" w:h="11906"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CFC9D3" w14:textId="77777777" w:rsidR="00707030" w:rsidRDefault="00707030" w:rsidP="00F35F8D">
      <w:pPr>
        <w:spacing w:after="0" w:line="240" w:lineRule="auto"/>
      </w:pPr>
      <w:r>
        <w:separator/>
      </w:r>
    </w:p>
  </w:endnote>
  <w:endnote w:type="continuationSeparator" w:id="0">
    <w:p w14:paraId="641F96C1" w14:textId="77777777" w:rsidR="00707030" w:rsidRDefault="00707030" w:rsidP="00F35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Times New Roman"/>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6482817"/>
      <w:docPartObj>
        <w:docPartGallery w:val="Page Numbers (Bottom of Page)"/>
        <w:docPartUnique/>
      </w:docPartObj>
    </w:sdtPr>
    <w:sdtEndPr>
      <w:rPr>
        <w:noProof/>
      </w:rPr>
    </w:sdtEndPr>
    <w:sdtContent>
      <w:p w14:paraId="280B9F4A" w14:textId="26F4F245" w:rsidR="009A60A6" w:rsidRDefault="009A60A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0638A1" w14:textId="77777777" w:rsidR="009A60A6" w:rsidRDefault="009A60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EBACF1" w14:textId="77777777" w:rsidR="00707030" w:rsidRDefault="00707030" w:rsidP="00F35F8D">
      <w:pPr>
        <w:spacing w:after="0" w:line="240" w:lineRule="auto"/>
      </w:pPr>
      <w:r>
        <w:separator/>
      </w:r>
    </w:p>
  </w:footnote>
  <w:footnote w:type="continuationSeparator" w:id="0">
    <w:p w14:paraId="6600C9C3" w14:textId="77777777" w:rsidR="00707030" w:rsidRDefault="00707030" w:rsidP="00F35F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A2MTYxsTA3NLA0NDNU0lEKTi0uzszPAykwtKgFABB/TYktAAAA"/>
    <w:docVar w:name="EN.InstantFormat" w:val="&lt;ENInstantFormat&gt;&lt;Enabled&gt;1&lt;/Enabled&gt;&lt;ScanUnformatted&gt;1&lt;/ScanUnformatted&gt;&lt;ScanChanges&gt;1&lt;/ScanChanges&gt;&lt;Suspended&gt;0&lt;/Suspended&gt;&lt;/ENInstantFormat&gt;"/>
    <w:docVar w:name="EN.Layout" w:val="&lt;ENLayout&gt;&lt;Style&gt;Author-Date V2&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rsvxfs59tddsneavabx5a0vpdrxdrtxttrr&quot;&gt;My EndNote Library_SCFA&lt;record-ids&gt;&lt;item&gt;629&lt;/item&gt;&lt;item&gt;751&lt;/item&gt;&lt;item&gt;1385&lt;/item&gt;&lt;item&gt;1424&lt;/item&gt;&lt;item&gt;1425&lt;/item&gt;&lt;item&gt;1451&lt;/item&gt;&lt;item&gt;1585&lt;/item&gt;&lt;item&gt;1586&lt;/item&gt;&lt;item&gt;1599&lt;/item&gt;&lt;item&gt;2028&lt;/item&gt;&lt;item&gt;2048&lt;/item&gt;&lt;item&gt;2083&lt;/item&gt;&lt;item&gt;2088&lt;/item&gt;&lt;/record-ids&gt;&lt;/item&gt;&lt;/Libraries&gt;"/>
  </w:docVars>
  <w:rsids>
    <w:rsidRoot w:val="00441691"/>
    <w:rsid w:val="00006998"/>
    <w:rsid w:val="00031E83"/>
    <w:rsid w:val="00092716"/>
    <w:rsid w:val="000D1359"/>
    <w:rsid w:val="00146FA8"/>
    <w:rsid w:val="001664ED"/>
    <w:rsid w:val="00180106"/>
    <w:rsid w:val="001B1C94"/>
    <w:rsid w:val="00275007"/>
    <w:rsid w:val="002772C5"/>
    <w:rsid w:val="0027778C"/>
    <w:rsid w:val="00302591"/>
    <w:rsid w:val="003519E3"/>
    <w:rsid w:val="00396CE2"/>
    <w:rsid w:val="003B3FFC"/>
    <w:rsid w:val="003E2264"/>
    <w:rsid w:val="003E4461"/>
    <w:rsid w:val="003F32FC"/>
    <w:rsid w:val="004122E0"/>
    <w:rsid w:val="00441691"/>
    <w:rsid w:val="00473E05"/>
    <w:rsid w:val="0049046B"/>
    <w:rsid w:val="00504F44"/>
    <w:rsid w:val="00516B1D"/>
    <w:rsid w:val="0055277A"/>
    <w:rsid w:val="00567890"/>
    <w:rsid w:val="006679D7"/>
    <w:rsid w:val="006A4824"/>
    <w:rsid w:val="00707030"/>
    <w:rsid w:val="00753CD8"/>
    <w:rsid w:val="00785806"/>
    <w:rsid w:val="007D36DC"/>
    <w:rsid w:val="007E4C87"/>
    <w:rsid w:val="008F1298"/>
    <w:rsid w:val="009462E6"/>
    <w:rsid w:val="00962A70"/>
    <w:rsid w:val="00976B6E"/>
    <w:rsid w:val="009A60A6"/>
    <w:rsid w:val="009A6ACD"/>
    <w:rsid w:val="009C3C5C"/>
    <w:rsid w:val="009E238D"/>
    <w:rsid w:val="009F7DE9"/>
    <w:rsid w:val="00A02E65"/>
    <w:rsid w:val="00A439C1"/>
    <w:rsid w:val="00A559CE"/>
    <w:rsid w:val="00A767AB"/>
    <w:rsid w:val="00A90AE3"/>
    <w:rsid w:val="00AA3C8B"/>
    <w:rsid w:val="00B03A56"/>
    <w:rsid w:val="00B04DA5"/>
    <w:rsid w:val="00B2104E"/>
    <w:rsid w:val="00B651B3"/>
    <w:rsid w:val="00BE785A"/>
    <w:rsid w:val="00C40FC9"/>
    <w:rsid w:val="00C818B1"/>
    <w:rsid w:val="00CB3A5C"/>
    <w:rsid w:val="00D47CE7"/>
    <w:rsid w:val="00D506F2"/>
    <w:rsid w:val="00DA4267"/>
    <w:rsid w:val="00E01AD0"/>
    <w:rsid w:val="00E60DD8"/>
    <w:rsid w:val="00E76230"/>
    <w:rsid w:val="00EB05DD"/>
    <w:rsid w:val="00ED7593"/>
    <w:rsid w:val="00EF20A1"/>
    <w:rsid w:val="00F35F8D"/>
    <w:rsid w:val="00F51CA1"/>
    <w:rsid w:val="00F61C0F"/>
    <w:rsid w:val="00FB78DD"/>
    <w:rsid w:val="00FE756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B7413E"/>
  <w15:chartTrackingRefBased/>
  <w15:docId w15:val="{D7530565-87C7-4363-BCD5-ACB371EA9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FA8"/>
    <w:pPr>
      <w:spacing w:line="480" w:lineRule="auto"/>
      <w:jc w:val="both"/>
    </w:pPr>
    <w:rPr>
      <w:rFonts w:ascii="Times New Roman" w:hAnsi="Times New Roman"/>
      <w:sz w:val="24"/>
    </w:rPr>
  </w:style>
  <w:style w:type="paragraph" w:styleId="Heading1">
    <w:name w:val="heading 1"/>
    <w:basedOn w:val="Normal"/>
    <w:next w:val="Normal"/>
    <w:link w:val="Heading1Char"/>
    <w:autoRedefine/>
    <w:uiPriority w:val="9"/>
    <w:qFormat/>
    <w:rsid w:val="00753CD8"/>
    <w:pPr>
      <w:keepNext/>
      <w:keepLines/>
      <w:spacing w:before="100" w:beforeAutospacing="1" w:after="100" w:afterAutospacing="1"/>
      <w:jc w:val="center"/>
      <w:outlineLvl w:val="0"/>
    </w:pPr>
    <w:rPr>
      <w:rFonts w:eastAsiaTheme="majorEastAsia" w:cstheme="majorBidi"/>
      <w:b/>
      <w:sz w:val="40"/>
      <w:szCs w:val="32"/>
      <w:lang w:val="en-GB"/>
    </w:rPr>
  </w:style>
  <w:style w:type="paragraph" w:styleId="Heading2">
    <w:name w:val="heading 2"/>
    <w:basedOn w:val="Normal"/>
    <w:next w:val="Normal"/>
    <w:link w:val="Heading2Char"/>
    <w:uiPriority w:val="9"/>
    <w:semiHidden/>
    <w:unhideWhenUsed/>
    <w:qFormat/>
    <w:rsid w:val="00146FA8"/>
    <w:pPr>
      <w:keepNext/>
      <w:keepLines/>
      <w:spacing w:before="40" w:after="0"/>
      <w:outlineLvl w:val="1"/>
    </w:pPr>
    <w:rPr>
      <w:rFonts w:asciiTheme="majorHAnsi" w:eastAsiaTheme="majorEastAsia" w:hAnsiTheme="majorHAnsi" w:cstheme="majorBidi"/>
      <w:sz w:val="26"/>
      <w:szCs w:val="26"/>
    </w:rPr>
  </w:style>
  <w:style w:type="paragraph" w:styleId="Heading4">
    <w:name w:val="heading 4"/>
    <w:basedOn w:val="Normal"/>
    <w:next w:val="Normal"/>
    <w:link w:val="Heading4Char"/>
    <w:uiPriority w:val="9"/>
    <w:unhideWhenUsed/>
    <w:qFormat/>
    <w:rsid w:val="00146FA8"/>
    <w:pPr>
      <w:keepNext/>
      <w:keepLines/>
      <w:spacing w:before="40" w:after="0"/>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CD8"/>
    <w:rPr>
      <w:rFonts w:ascii="Times New Roman" w:eastAsiaTheme="majorEastAsia" w:hAnsi="Times New Roman" w:cstheme="majorBidi"/>
      <w:b/>
      <w:sz w:val="40"/>
      <w:szCs w:val="32"/>
      <w:lang w:val="en-GB"/>
    </w:rPr>
  </w:style>
  <w:style w:type="character" w:styleId="Hyperlink">
    <w:name w:val="Hyperlink"/>
    <w:basedOn w:val="DefaultParagraphFont"/>
    <w:uiPriority w:val="99"/>
    <w:unhideWhenUsed/>
    <w:rsid w:val="00F35F8D"/>
    <w:rPr>
      <w:color w:val="0563C1" w:themeColor="hyperlink"/>
      <w:u w:val="single"/>
    </w:rPr>
  </w:style>
  <w:style w:type="paragraph" w:styleId="NoSpacing">
    <w:name w:val="No Spacing"/>
    <w:aliases w:val="Spacing"/>
    <w:uiPriority w:val="1"/>
    <w:qFormat/>
    <w:rsid w:val="00F35F8D"/>
    <w:pPr>
      <w:spacing w:beforeAutospacing="1" w:after="0" w:afterAutospacing="1" w:line="240" w:lineRule="auto"/>
      <w:jc w:val="both"/>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F35F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5F8D"/>
  </w:style>
  <w:style w:type="paragraph" w:styleId="Footer">
    <w:name w:val="footer"/>
    <w:basedOn w:val="Normal"/>
    <w:link w:val="FooterChar"/>
    <w:uiPriority w:val="99"/>
    <w:unhideWhenUsed/>
    <w:rsid w:val="00F35F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5F8D"/>
  </w:style>
  <w:style w:type="character" w:styleId="CommentReference">
    <w:name w:val="annotation reference"/>
    <w:basedOn w:val="DefaultParagraphFont"/>
    <w:uiPriority w:val="99"/>
    <w:semiHidden/>
    <w:unhideWhenUsed/>
    <w:rsid w:val="003519E3"/>
    <w:rPr>
      <w:sz w:val="16"/>
      <w:szCs w:val="16"/>
    </w:rPr>
  </w:style>
  <w:style w:type="paragraph" w:styleId="CommentText">
    <w:name w:val="annotation text"/>
    <w:basedOn w:val="Normal"/>
    <w:link w:val="CommentTextChar"/>
    <w:uiPriority w:val="99"/>
    <w:unhideWhenUsed/>
    <w:rsid w:val="003519E3"/>
    <w:pPr>
      <w:spacing w:line="240" w:lineRule="auto"/>
    </w:pPr>
    <w:rPr>
      <w:sz w:val="20"/>
      <w:szCs w:val="20"/>
    </w:rPr>
  </w:style>
  <w:style w:type="character" w:customStyle="1" w:styleId="CommentTextChar">
    <w:name w:val="Comment Text Char"/>
    <w:basedOn w:val="DefaultParagraphFont"/>
    <w:link w:val="CommentText"/>
    <w:uiPriority w:val="99"/>
    <w:rsid w:val="003519E3"/>
    <w:rPr>
      <w:sz w:val="20"/>
      <w:szCs w:val="20"/>
    </w:rPr>
  </w:style>
  <w:style w:type="paragraph" w:styleId="CommentSubject">
    <w:name w:val="annotation subject"/>
    <w:basedOn w:val="CommentText"/>
    <w:next w:val="CommentText"/>
    <w:link w:val="CommentSubjectChar"/>
    <w:uiPriority w:val="99"/>
    <w:semiHidden/>
    <w:unhideWhenUsed/>
    <w:rsid w:val="003519E3"/>
    <w:rPr>
      <w:b/>
      <w:bCs/>
    </w:rPr>
  </w:style>
  <w:style w:type="character" w:customStyle="1" w:styleId="CommentSubjectChar">
    <w:name w:val="Comment Subject Char"/>
    <w:basedOn w:val="CommentTextChar"/>
    <w:link w:val="CommentSubject"/>
    <w:uiPriority w:val="99"/>
    <w:semiHidden/>
    <w:rsid w:val="003519E3"/>
    <w:rPr>
      <w:b/>
      <w:bCs/>
      <w:sz w:val="20"/>
      <w:szCs w:val="20"/>
    </w:rPr>
  </w:style>
  <w:style w:type="paragraph" w:styleId="BalloonText">
    <w:name w:val="Balloon Text"/>
    <w:basedOn w:val="Normal"/>
    <w:link w:val="BalloonTextChar"/>
    <w:uiPriority w:val="99"/>
    <w:semiHidden/>
    <w:unhideWhenUsed/>
    <w:rsid w:val="003519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19E3"/>
    <w:rPr>
      <w:rFonts w:ascii="Segoe UI" w:hAnsi="Segoe UI" w:cs="Segoe UI"/>
      <w:sz w:val="18"/>
      <w:szCs w:val="18"/>
    </w:rPr>
  </w:style>
  <w:style w:type="character" w:customStyle="1" w:styleId="Heading4Char">
    <w:name w:val="Heading 4 Char"/>
    <w:basedOn w:val="DefaultParagraphFont"/>
    <w:link w:val="Heading4"/>
    <w:uiPriority w:val="9"/>
    <w:rsid w:val="00146FA8"/>
    <w:rPr>
      <w:rFonts w:ascii="Times New Roman" w:eastAsiaTheme="majorEastAsia" w:hAnsi="Times New Roman" w:cstheme="majorBidi"/>
      <w:b/>
      <w:iCs/>
      <w:sz w:val="24"/>
    </w:rPr>
  </w:style>
  <w:style w:type="character" w:styleId="Emphasis">
    <w:name w:val="Emphasis"/>
    <w:basedOn w:val="DefaultParagraphFont"/>
    <w:uiPriority w:val="20"/>
    <w:qFormat/>
    <w:rsid w:val="00146FA8"/>
    <w:rPr>
      <w:i/>
      <w:iCs/>
    </w:rPr>
  </w:style>
  <w:style w:type="character" w:customStyle="1" w:styleId="Heading2Char">
    <w:name w:val="Heading 2 Char"/>
    <w:basedOn w:val="DefaultParagraphFont"/>
    <w:link w:val="Heading2"/>
    <w:uiPriority w:val="9"/>
    <w:semiHidden/>
    <w:rsid w:val="00146FA8"/>
    <w:rPr>
      <w:rFonts w:asciiTheme="majorHAnsi" w:eastAsiaTheme="majorEastAsia" w:hAnsiTheme="majorHAnsi" w:cstheme="majorBidi"/>
      <w:sz w:val="26"/>
      <w:szCs w:val="26"/>
    </w:rPr>
  </w:style>
  <w:style w:type="paragraph" w:customStyle="1" w:styleId="EndNoteBibliographyTitle">
    <w:name w:val="EndNote Bibliography Title"/>
    <w:basedOn w:val="Normal"/>
    <w:link w:val="EndNoteBibliographyTitleChar"/>
    <w:rsid w:val="00146FA8"/>
    <w:pPr>
      <w:spacing w:after="0"/>
      <w:jc w:val="center"/>
    </w:pPr>
    <w:rPr>
      <w:rFonts w:cs="Times New Roman"/>
      <w:noProof/>
      <w:lang w:val="en-US"/>
    </w:rPr>
  </w:style>
  <w:style w:type="character" w:customStyle="1" w:styleId="EndNoteBibliographyTitleChar">
    <w:name w:val="EndNote Bibliography Title Char"/>
    <w:basedOn w:val="Heading4Char"/>
    <w:link w:val="EndNoteBibliographyTitle"/>
    <w:rsid w:val="00146FA8"/>
    <w:rPr>
      <w:rFonts w:ascii="Times New Roman" w:eastAsiaTheme="majorEastAsia" w:hAnsi="Times New Roman" w:cs="Times New Roman"/>
      <w:b w:val="0"/>
      <w:iCs w:val="0"/>
      <w:noProof/>
      <w:sz w:val="24"/>
      <w:lang w:val="en-US"/>
    </w:rPr>
  </w:style>
  <w:style w:type="paragraph" w:customStyle="1" w:styleId="EndNoteBibliography">
    <w:name w:val="EndNote Bibliography"/>
    <w:basedOn w:val="Normal"/>
    <w:link w:val="EndNoteBibliographyChar"/>
    <w:rsid w:val="00146FA8"/>
    <w:pPr>
      <w:spacing w:line="240" w:lineRule="auto"/>
    </w:pPr>
    <w:rPr>
      <w:rFonts w:cs="Times New Roman"/>
      <w:noProof/>
      <w:lang w:val="en-US"/>
    </w:rPr>
  </w:style>
  <w:style w:type="character" w:customStyle="1" w:styleId="EndNoteBibliographyChar">
    <w:name w:val="EndNote Bibliography Char"/>
    <w:basedOn w:val="Heading4Char"/>
    <w:link w:val="EndNoteBibliography"/>
    <w:rsid w:val="00146FA8"/>
    <w:rPr>
      <w:rFonts w:ascii="Times New Roman" w:eastAsiaTheme="majorEastAsia" w:hAnsi="Times New Roman" w:cs="Times New Roman"/>
      <w:b w:val="0"/>
      <w:iCs w:val="0"/>
      <w:noProof/>
      <w:sz w:val="24"/>
      <w:lang w:val="en-US"/>
    </w:rPr>
  </w:style>
  <w:style w:type="character" w:customStyle="1" w:styleId="FigureChar">
    <w:name w:val="Figure Char"/>
    <w:basedOn w:val="DefaultParagraphFont"/>
    <w:link w:val="Figure"/>
    <w:locked/>
    <w:rsid w:val="006679D7"/>
    <w:rPr>
      <w:rFonts w:ascii="Times New Roman" w:hAnsi="Times New Roman" w:cs="Times New Roman"/>
      <w:i/>
      <w:noProof/>
      <w:sz w:val="20"/>
      <w:lang w:eastAsia="en-IE"/>
    </w:rPr>
  </w:style>
  <w:style w:type="paragraph" w:customStyle="1" w:styleId="Figure">
    <w:name w:val="Figure"/>
    <w:basedOn w:val="NoSpacing"/>
    <w:link w:val="FigureChar"/>
    <w:qFormat/>
    <w:rsid w:val="006679D7"/>
    <w:pPr>
      <w:keepNext/>
      <w:spacing w:beforeAutospacing="0" w:afterAutospacing="0" w:line="360" w:lineRule="auto"/>
      <w:jc w:val="center"/>
    </w:pPr>
    <w:rPr>
      <w:rFonts w:eastAsiaTheme="minorHAnsi"/>
      <w:i/>
      <w:noProof/>
      <w:sz w:val="20"/>
      <w:szCs w:val="22"/>
      <w:lang w:val="en-IE" w:eastAsia="en-IE"/>
    </w:rPr>
  </w:style>
  <w:style w:type="character" w:styleId="LineNumber">
    <w:name w:val="line number"/>
    <w:basedOn w:val="DefaultParagraphFont"/>
    <w:uiPriority w:val="99"/>
    <w:semiHidden/>
    <w:unhideWhenUsed/>
    <w:rsid w:val="00F61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871780">
      <w:bodyDiv w:val="1"/>
      <w:marLeft w:val="0"/>
      <w:marRight w:val="0"/>
      <w:marTop w:val="0"/>
      <w:marBottom w:val="0"/>
      <w:divBdr>
        <w:top w:val="none" w:sz="0" w:space="0" w:color="auto"/>
        <w:left w:val="none" w:sz="0" w:space="0" w:color="auto"/>
        <w:bottom w:val="none" w:sz="0" w:space="0" w:color="auto"/>
        <w:right w:val="none" w:sz="0" w:space="0" w:color="auto"/>
      </w:divBdr>
    </w:div>
    <w:div w:id="627976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cotter@teagasc.ie" TargetMode="External"/><Relationship Id="rId13" Type="http://schemas.openxmlformats.org/officeDocument/2006/relationships/image" Target="media/image5.tiff"/><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2.emf"/><Relationship Id="rId7" Type="http://schemas.openxmlformats.org/officeDocument/2006/relationships/hyperlink" Target="mailto:j.cryan@ucc.ie" TargetMode="External"/><Relationship Id="rId12" Type="http://schemas.openxmlformats.org/officeDocument/2006/relationships/image" Target="media/image4.jpeg"/><Relationship Id="rId17" Type="http://schemas.openxmlformats.org/officeDocument/2006/relationships/image" Target="media/image9.tiff"/><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tiff"/><Relationship Id="rId19" Type="http://schemas.openxmlformats.org/officeDocument/2006/relationships/image" Target="media/image10.tiff"/><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EA1818-ED1A-45C0-B799-970C61E4A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16</Pages>
  <Words>1468</Words>
  <Characters>8369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De Wouw, Marcel</dc:creator>
  <cp:keywords/>
  <dc:description/>
  <cp:lastModifiedBy>Marcel van de Wouw</cp:lastModifiedBy>
  <cp:revision>46</cp:revision>
  <dcterms:created xsi:type="dcterms:W3CDTF">2019-03-29T14:30:00Z</dcterms:created>
  <dcterms:modified xsi:type="dcterms:W3CDTF">2020-03-18T20:59:00Z</dcterms:modified>
</cp:coreProperties>
</file>